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5387" w:right="0" w:hanging="0"/>
        <w:rPr/>
      </w:pP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spacing w:val="-6"/>
          <w:kern w:val="2"/>
          <w:sz w:val="24"/>
          <w:szCs w:val="24"/>
          <w:lang w:val="ru-RU" w:eastAsia="en-US" w:bidi="hi-IN"/>
        </w:rPr>
        <w:t>Приложение 2</w:t>
      </w:r>
    </w:p>
    <w:p>
      <w:pPr>
        <w:pStyle w:val="Normal"/>
        <w:ind w:left="5387" w:right="0" w:hanging="0"/>
        <w:rPr>
          <w:rStyle w:val="Style15"/>
          <w:rFonts w:ascii="Times New Roman" w:hAnsi="Times New Roman" w:eastAsia="Calibri" w:cs="Times New Roman"/>
          <w:b w:val="false"/>
          <w:b w:val="false"/>
          <w:bCs w:val="false"/>
          <w:color w:val="000000"/>
          <w:spacing w:val="-6"/>
          <w:kern w:val="2"/>
          <w:sz w:val="24"/>
          <w:szCs w:val="24"/>
          <w:lang w:val="ru-RU" w:eastAsia="en-US" w:bidi="hi-IN"/>
        </w:rPr>
      </w:pPr>
      <w:r>
        <w:rPr/>
      </w:r>
    </w:p>
    <w:p>
      <w:pPr>
        <w:pStyle w:val="Normal"/>
        <w:ind w:left="5387" w:right="0" w:hanging="0"/>
        <w:jc w:val="both"/>
        <w:rPr/>
      </w:pP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spacing w:val="-6"/>
          <w:kern w:val="2"/>
          <w:sz w:val="24"/>
          <w:szCs w:val="24"/>
          <w:lang w:val="ru-RU" w:eastAsia="en-US" w:bidi="hi-IN"/>
        </w:rPr>
        <w:t>к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spacing w:val="-6"/>
          <w:kern w:val="2"/>
          <w:sz w:val="24"/>
          <w:szCs w:val="24"/>
          <w:lang w:val="ru-RU" w:eastAsia="en-US" w:bidi="hi-IN"/>
        </w:rPr>
        <w:t xml:space="preserve">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spacing w:val="-6"/>
          <w:kern w:val="2"/>
          <w:sz w:val="24"/>
          <w:szCs w:val="24"/>
          <w:lang w:val="ru-RU" w:eastAsia="en-US" w:bidi="hi-IN"/>
        </w:rPr>
        <w:t>распоряжени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spacing w:val="-6"/>
          <w:kern w:val="2"/>
          <w:sz w:val="24"/>
          <w:szCs w:val="24"/>
          <w:lang w:val="ru-RU" w:eastAsia="en-US" w:bidi="hi-IN"/>
        </w:rPr>
        <w:t>ю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spacing w:val="-6"/>
          <w:kern w:val="2"/>
          <w:sz w:val="24"/>
          <w:szCs w:val="24"/>
          <w:lang w:val="ru-RU" w:eastAsia="en-US" w:bidi="hi-IN"/>
        </w:rPr>
        <w:t xml:space="preserve"> Администрации города </w:t>
      </w:r>
    </w:p>
    <w:p>
      <w:pPr>
        <w:pStyle w:val="Normal"/>
        <w:ind w:left="5387" w:right="0" w:hanging="0"/>
        <w:jc w:val="both"/>
        <w:rPr/>
      </w:pP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spacing w:val="-6"/>
          <w:kern w:val="2"/>
          <w:sz w:val="24"/>
          <w:szCs w:val="24"/>
          <w:lang w:val="ru-RU" w:eastAsia="en-US" w:bidi="hi-IN"/>
        </w:rPr>
        <w:t>от _____________ №_______________</w:t>
      </w:r>
    </w:p>
    <w:p>
      <w:pPr>
        <w:pStyle w:val="Normal"/>
        <w:ind w:left="0" w:right="0" w:firstLine="680"/>
        <w:jc w:val="right"/>
        <w:rPr>
          <w:lang w:val="ru-RU"/>
        </w:rPr>
      </w:pPr>
      <w:r>
        <w:rPr>
          <w:lang w:val="ru-RU"/>
        </w:rPr>
      </w:r>
    </w:p>
    <w:p>
      <w:pPr>
        <w:pStyle w:val="ConsPlusNormal"/>
        <w:spacing w:lineRule="auto" w:line="240"/>
        <w:ind w:left="0" w:right="0" w:firstLine="709"/>
        <w:jc w:val="center"/>
        <w:rPr/>
      </w:pPr>
      <w:r>
        <w:rPr>
          <w:rStyle w:val="Style15"/>
          <w:rFonts w:eastAsia="Calibri"/>
          <w:b w:val="false"/>
          <w:bCs w:val="false"/>
          <w:color w:val="000000"/>
          <w:spacing w:val="-6"/>
          <w:sz w:val="24"/>
          <w:szCs w:val="24"/>
          <w:lang w:eastAsia="en-US"/>
        </w:rPr>
        <w:t xml:space="preserve">Предельные </w:t>
      </w:r>
      <w:r>
        <w:rPr>
          <w:rStyle w:val="Style15"/>
          <w:rFonts w:eastAsia="Calibri"/>
          <w:b w:val="false"/>
          <w:bCs w:val="false"/>
          <w:color w:val="000000"/>
          <w:spacing w:val="-6"/>
          <w:sz w:val="24"/>
          <w:szCs w:val="24"/>
          <w:lang w:eastAsia="en-US"/>
        </w:rPr>
        <w:t>размеры земельных участков и</w:t>
      </w:r>
      <w:r>
        <w:rPr>
          <w:rStyle w:val="Style15"/>
          <w:rFonts w:eastAsia="Calibri"/>
          <w:b w:val="false"/>
          <w:bCs w:val="false"/>
          <w:color w:val="000000"/>
          <w:spacing w:val="-6"/>
          <w:sz w:val="24"/>
          <w:szCs w:val="24"/>
          <w:lang w:eastAsia="en-US"/>
        </w:rPr>
        <w:t xml:space="preserve"> параметры разрешенного строительства, реконструкции объектов капитального строительства, а также основные виды разрешенного использования, которые могут быть выбраны при реализации решения о комплексном развитии территории нежилой застройки в границах улиц: </w:t>
      </w:r>
      <w:r>
        <w:rPr>
          <w:rStyle w:val="Style15"/>
          <w:b w:val="false"/>
          <w:bCs w:val="false"/>
          <w:color w:val="000000"/>
          <w:spacing w:val="-6"/>
          <w:sz w:val="24"/>
          <w:szCs w:val="24"/>
        </w:rPr>
        <w:t>Братьев Кашириных, Ижевской, Игнатия Вандышева в Калининском</w:t>
      </w:r>
      <w:r>
        <w:rPr>
          <w:rStyle w:val="Style15"/>
          <w:rFonts w:eastAsia="Calibri"/>
          <w:b w:val="false"/>
          <w:bCs w:val="false"/>
          <w:color w:val="000000"/>
          <w:spacing w:val="-6"/>
          <w:sz w:val="24"/>
          <w:szCs w:val="24"/>
          <w:lang w:eastAsia="en-US"/>
        </w:rPr>
        <w:t xml:space="preserve"> районе города Челябинска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lang w:val="ru-RU"/>
        </w:rPr>
      </w:r>
    </w:p>
    <w:p>
      <w:pPr>
        <w:pStyle w:val="ConsPlusNormal"/>
        <w:spacing w:lineRule="auto" w:line="240"/>
        <w:ind w:left="0" w:right="0" w:firstLine="680"/>
        <w:jc w:val="both"/>
        <w:rPr>
          <w:rFonts w:eastAsia="Calibri"/>
          <w:color w:val="000000"/>
          <w:spacing w:val="-6"/>
          <w:sz w:val="24"/>
          <w:szCs w:val="24"/>
          <w:lang w:eastAsia="en-US"/>
        </w:rPr>
      </w:pPr>
      <w:r>
        <w:rPr>
          <w:rFonts w:eastAsia="Calibri"/>
          <w:color w:val="000000"/>
          <w:spacing w:val="-6"/>
          <w:sz w:val="24"/>
          <w:szCs w:val="24"/>
          <w:lang w:eastAsia="en-US"/>
        </w:rPr>
        <w:t>1.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>
      <w:pPr>
        <w:pStyle w:val="Normal"/>
        <w:spacing w:lineRule="auto" w:line="240"/>
        <w:jc w:val="center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</w:r>
    </w:p>
    <w:tbl>
      <w:tblPr>
        <w:tblW w:w="9400" w:type="dxa"/>
        <w:jc w:val="left"/>
        <w:tblInd w:w="-51" w:type="dxa"/>
        <w:tblLayout w:type="fixed"/>
        <w:tblCellMar>
          <w:top w:w="0" w:type="dxa"/>
          <w:left w:w="5" w:type="dxa"/>
          <w:bottom w:w="0" w:type="dxa"/>
          <w:right w:w="0" w:type="dxa"/>
        </w:tblCellMar>
      </w:tblPr>
      <w:tblGrid>
        <w:gridCol w:w="7709"/>
        <w:gridCol w:w="1691"/>
      </w:tblGrid>
      <w:tr>
        <w:trPr>
          <w:trHeight w:val="450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TableParagraph"/>
              <w:rPr/>
            </w:pPr>
            <w:r>
              <w:rPr/>
              <w:t>Показатель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rPr/>
            </w:pPr>
            <w:r>
              <w:rPr/>
              <w:t>Значение</w:t>
            </w:r>
          </w:p>
        </w:tc>
      </w:tr>
      <w:tr>
        <w:trPr>
          <w:trHeight w:val="679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TableParagraph"/>
              <w:jc w:val="left"/>
              <w:rPr/>
            </w:pPr>
            <w:r>
              <w:rPr/>
              <w:t>Минимальный размер участка (кв. м)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rPr/>
            </w:pPr>
            <w:r>
              <w:rPr/>
              <w:t>не подлежит установлению</w:t>
            </w:r>
          </w:p>
        </w:tc>
      </w:tr>
      <w:tr>
        <w:trPr>
          <w:trHeight w:val="733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TableParagraph"/>
              <w:jc w:val="left"/>
              <w:rPr/>
            </w:pPr>
            <w:r>
              <w:rPr/>
              <w:t>Максимальный размер участка (кв. м)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rPr/>
            </w:pPr>
            <w:r>
              <w:rPr/>
              <w:t>не подлежит установлению</w:t>
            </w:r>
          </w:p>
        </w:tc>
      </w:tr>
      <w:tr>
        <w:trPr>
          <w:trHeight w:val="684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TableParagraph"/>
              <w:jc w:val="left"/>
              <w:rPr/>
            </w:pPr>
            <w:r>
              <w:rPr/>
              <w:t xml:space="preserve">Минимальный отступ от </w:t>
            </w:r>
            <w:r>
              <w:rPr>
                <w:color w:val="000000"/>
                <w:lang w:eastAsia="en-US"/>
              </w:rPr>
              <w:t>фронта застройки</w:t>
            </w:r>
            <w:r>
              <w:rPr/>
              <w:t xml:space="preserve"> до красных линий улиц (м)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rPr>
          <w:trHeight w:val="684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TableParagraph"/>
              <w:jc w:val="left"/>
              <w:rPr/>
            </w:pPr>
            <w:r>
              <w:rPr/>
              <w:t>Минимальный коэффициент застройки (процент застройки)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rPr/>
            </w:pPr>
            <w:r>
              <w:rPr/>
              <w:t>0,2</w:t>
            </w:r>
          </w:p>
          <w:p>
            <w:pPr>
              <w:pStyle w:val="TableParagraph"/>
              <w:rPr/>
            </w:pPr>
            <w:r>
              <w:rPr/>
              <w:t>(20)</w:t>
            </w:r>
          </w:p>
        </w:tc>
      </w:tr>
      <w:tr>
        <w:trPr>
          <w:trHeight w:val="683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TableParagraph"/>
              <w:jc w:val="left"/>
              <w:rPr/>
            </w:pPr>
            <w:r>
              <w:rPr/>
              <w:t>Максимальный коэффициент застройки (процент застройки)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rPr/>
            </w:pPr>
            <w:r>
              <w:rPr/>
              <w:t xml:space="preserve">1 </w:t>
            </w:r>
          </w:p>
          <w:p>
            <w:pPr>
              <w:pStyle w:val="TableParagraph"/>
              <w:rPr/>
            </w:pPr>
            <w:r>
              <w:rPr/>
              <w:t>(100)</w:t>
            </w:r>
          </w:p>
        </w:tc>
      </w:tr>
      <w:tr>
        <w:trPr>
          <w:trHeight w:val="450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TableParagraph"/>
              <w:jc w:val="left"/>
              <w:rPr/>
            </w:pPr>
            <w:r>
              <w:rPr/>
              <w:t>Максимальный процент застройки подземной части земельного участка (%)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rPr/>
            </w:pPr>
            <w:r>
              <w:rPr/>
              <w:t>100</w:t>
            </w:r>
          </w:p>
        </w:tc>
      </w:tr>
      <w:tr>
        <w:trPr>
          <w:trHeight w:val="617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TableParagraph"/>
              <w:jc w:val="left"/>
              <w:rPr/>
            </w:pPr>
            <w:r>
              <w:rPr/>
              <w:t>Минимальный процент застройки подземной части земельного участка (%)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rPr/>
            </w:pPr>
            <w:r>
              <w:rPr/>
              <w:t>не подлежит установлению</w:t>
            </w:r>
          </w:p>
        </w:tc>
      </w:tr>
      <w:tr>
        <w:trPr>
          <w:trHeight w:val="733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TableParagraph"/>
              <w:jc w:val="left"/>
              <w:rPr/>
            </w:pPr>
            <w:r>
              <w:rPr/>
              <w:t>Максимальный коэффициент плотности застройки территориальной зоны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>
        <w:trPr>
          <w:trHeight w:val="733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TableParagraph"/>
              <w:jc w:val="left"/>
              <w:rPr/>
            </w:pPr>
            <w:r>
              <w:rPr/>
              <w:t>Максимальный коэффициент плотности застройки земельного участка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rPr/>
            </w:pPr>
            <w:r>
              <w:rPr>
                <w:color w:val="000000"/>
              </w:rPr>
              <w:t>3</w:t>
            </w:r>
            <w:r>
              <w:rPr/>
              <w:t>,5</w:t>
            </w:r>
          </w:p>
        </w:tc>
      </w:tr>
      <w:tr>
        <w:trPr>
          <w:trHeight w:val="750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TableParagraph"/>
              <w:jc w:val="left"/>
              <w:rPr/>
            </w:pPr>
            <w:r>
              <w:rPr/>
              <w:t xml:space="preserve">Минимальный </w:t>
            </w:r>
            <w:r>
              <w:rPr>
                <w:color w:val="000000"/>
              </w:rPr>
              <w:t>процент</w:t>
            </w:r>
            <w:r>
              <w:rPr/>
              <w:t xml:space="preserve"> озелененн</w:t>
            </w:r>
            <w:r>
              <w:rPr>
                <w:color w:val="000000"/>
              </w:rPr>
              <w:t>ых</w:t>
            </w:r>
            <w:r>
              <w:rPr/>
              <w:t xml:space="preserve"> территории от общей площади земельного участка (%)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rPr/>
            </w:pPr>
            <w:r>
              <w:rPr/>
              <w:t>25</w:t>
            </w:r>
          </w:p>
        </w:tc>
      </w:tr>
      <w:tr>
        <w:trPr>
          <w:trHeight w:val="418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TableParagraph"/>
              <w:jc w:val="left"/>
              <w:rPr/>
            </w:pPr>
            <w:r>
              <w:rPr/>
              <w:t>Предельное количество этажей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rPr/>
            </w:pPr>
            <w:r>
              <w:rPr/>
              <w:t>н</w:t>
            </w:r>
            <w:r>
              <w:rPr/>
              <w:t>е подлежит установлению</w:t>
            </w:r>
          </w:p>
        </w:tc>
      </w:tr>
      <w:tr>
        <w:trPr>
          <w:trHeight w:val="418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TableParagraph"/>
              <w:jc w:val="left"/>
              <w:rPr/>
            </w:pPr>
            <w:r>
              <w:rPr/>
              <w:t xml:space="preserve">Размещение расчетного количества машино-мест для </w:t>
            </w:r>
            <w:r>
              <w:rPr>
                <w:rFonts w:eastAsia="NSimSun"/>
                <w:color w:val="000000"/>
                <w:lang w:bidi="hi-IN"/>
              </w:rPr>
              <w:t>территорий, в границах которых осуществляется комплексное развитие территории</w:t>
            </w:r>
            <w:r>
              <w:rPr/>
              <w:t xml:space="preserve"> </w:t>
            </w:r>
            <w:r>
              <w:rPr>
                <w:lang w:eastAsia="en-US"/>
              </w:rPr>
              <w:t>(%)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rPr/>
            </w:pPr>
            <w:r>
              <w:rPr/>
              <w:t>100</w:t>
            </w:r>
          </w:p>
        </w:tc>
      </w:tr>
    </w:tbl>
    <w:p>
      <w:pPr>
        <w:pStyle w:val="Normal"/>
        <w:ind w:left="0" w:right="0" w:firstLine="680"/>
        <w:jc w:val="both"/>
        <w:rPr>
          <w:lang w:val="ru-RU"/>
        </w:rPr>
      </w:pPr>
      <w:r>
        <w:rPr>
          <w:lang w:val="ru-RU"/>
        </w:rPr>
      </w:r>
    </w:p>
    <w:p>
      <w:pPr>
        <w:pStyle w:val="ConsPlusNormal"/>
        <w:ind w:left="0" w:right="0" w:firstLine="680"/>
        <w:jc w:val="both"/>
        <w:rPr>
          <w:rFonts w:eastAsia="Calibri"/>
          <w:color w:val="000000"/>
          <w:spacing w:val="-6"/>
          <w:sz w:val="24"/>
          <w:szCs w:val="24"/>
          <w:lang w:eastAsia="en-US"/>
        </w:rPr>
      </w:pPr>
      <w:r>
        <w:rPr>
          <w:rFonts w:eastAsia="Calibri"/>
          <w:color w:val="000000"/>
          <w:spacing w:val="-6"/>
          <w:sz w:val="24"/>
          <w:szCs w:val="24"/>
          <w:lang w:eastAsia="en-US"/>
        </w:rPr>
        <w:t>2. Виды разрешенного использования земельных участков и объектов капитального строительства, которые могут быть выбраны при реализации решения о комплексном развитии территории нежилой застройки:</w:t>
      </w:r>
    </w:p>
    <w:p>
      <w:pPr>
        <w:pStyle w:val="Normal"/>
        <w:ind w:left="709" w:right="0" w:hanging="142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Основные виды разрешенного использования: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среднеэтажная жилая застройка (2.5);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многоэтажная жилая застройка (высотная застройка) (2.6);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малоэтажная многоквартирная жилая застройка (2.1.1);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блокированная жилая застройка (2.3);</w:t>
      </w:r>
    </w:p>
    <w:p>
      <w:pPr>
        <w:pStyle w:val="Normal"/>
        <w:ind w:left="709" w:right="0" w:hanging="142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коммунальное обслуживание (3.1);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предоставление коммунальных услуг (3.1.1);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оказание социальной помощи населению (3.2.2);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оказание услуг связи (3.2.3);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бытовое обслуживание (3.3);</w:t>
      </w:r>
    </w:p>
    <w:p>
      <w:pPr>
        <w:pStyle w:val="Normal"/>
        <w:ind w:left="709" w:right="0" w:hanging="142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 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административные здания организаций, обеспечивающих предоставление коммунальных услуг (3.1.2);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оказание услуг связи (3.2.3);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обеспечение деятельности в области гидрометеорологии и смежных с ней областях (3.9.1);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амбулаторно-поликлиническое обслуживание (объекты медицинского обслуживания без стационара) (3.4.1);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дошкольное, начальное и среднее общее образование (3.5.1);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объекты культурно-досуговой деятельности (3.6.1);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парки культуры и отдыха (3.6.2);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осуществление религиозных обрядов (3.7.1);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государственное управление (3.8.1);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амбулаторно-ветеринарное обслуживание (3.10.1);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деловое управление (4.1);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магазины (4.4);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банковская и страховая деятельность (4.5);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общественное питание (4.6);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развлекательные мероприятия (4.8.1);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обеспечение занятий спортом в помещениях (5.1.2);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площадки для занятий спортом (5.1.3);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оборудованные площадки для занятий спортом (5.1.4);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водный спорт (5.1.5);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благоустройство территории (12.0.2);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связь (6.8);</w:t>
      </w:r>
    </w:p>
    <w:p>
      <w:pPr>
        <w:pStyle w:val="Normal"/>
        <w:ind w:left="709" w:right="0" w:hanging="142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обеспечение внутреннего правопорядка (8.3).</w:t>
      </w:r>
    </w:p>
    <w:p>
      <w:pPr>
        <w:pStyle w:val="Normal"/>
        <w:ind w:left="709" w:right="0" w:hanging="142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Вспомогательные виды разрешенного использования: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улично-дорожная сеть (12.0.1);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хранение автотранспорта (2.7.1);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служебные гаражи (4.9).</w:t>
      </w:r>
    </w:p>
    <w:p>
      <w:pPr>
        <w:pStyle w:val="Normal"/>
        <w:ind w:left="709" w:right="0" w:hanging="142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Условно разрешенные виды использования:</w:t>
      </w:r>
    </w:p>
    <w:p>
      <w:pPr>
        <w:pStyle w:val="Normal"/>
        <w:ind w:left="709" w:right="0" w:hanging="142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объекты торговли (торговые центры, торгово-развлекательные центры (комплексы) (4.2).</w:t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cs="Times New Roman" w:ascii="Times New Roman" w:hAnsi="Times New Roman"/>
          <w:color w:val="000000"/>
          <w:lang w:val="ru-RU"/>
        </w:rPr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cs="Times New Roman" w:ascii="Times New Roman" w:hAnsi="Times New Roman"/>
          <w:color w:val="000000"/>
          <w:lang w:val="ru-RU"/>
        </w:rPr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cs="Times New Roman" w:ascii="Times New Roman" w:hAnsi="Times New Roman"/>
          <w:color w:val="000000"/>
          <w:lang w:val="ru-RU"/>
        </w:rPr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cs="Times New Roman" w:ascii="Times New Roman" w:hAnsi="Times New Roman"/>
          <w:color w:val="000000"/>
          <w:lang w:val="ru-RU"/>
        </w:rPr>
      </w:r>
    </w:p>
    <w:p>
      <w:pPr>
        <w:pStyle w:val="Normal"/>
        <w:rPr>
          <w:rFonts w:ascii="Times New Roman" w:hAnsi="Times New Roman" w:cs="Times New Roman"/>
          <w:spacing w:val="-6"/>
          <w:lang w:val="ru-RU"/>
        </w:rPr>
      </w:pPr>
      <w:r>
        <w:rPr>
          <w:rFonts w:cs="Times New Roman" w:ascii="Times New Roman" w:hAnsi="Times New Roman"/>
          <w:spacing w:val="-6"/>
          <w:lang w:val="ru-RU"/>
        </w:rPr>
        <w:t>Начальник Управления по архитектурно-</w:t>
      </w:r>
    </w:p>
    <w:p>
      <w:pPr>
        <w:pStyle w:val="Normal"/>
        <w:rPr>
          <w:rFonts w:ascii="Times New Roman" w:hAnsi="Times New Roman" w:cs="Times New Roman"/>
          <w:spacing w:val="-6"/>
          <w:lang w:val="ru-RU"/>
        </w:rPr>
      </w:pPr>
      <w:r>
        <w:rPr>
          <w:rFonts w:cs="Times New Roman" w:ascii="Times New Roman" w:hAnsi="Times New Roman"/>
          <w:spacing w:val="-6"/>
          <w:lang w:val="ru-RU"/>
        </w:rPr>
        <w:t>градостроительному проектированию</w:t>
      </w:r>
    </w:p>
    <w:p>
      <w:pPr>
        <w:pStyle w:val="Normal"/>
        <w:rPr>
          <w:rFonts w:ascii="Times New Roman" w:hAnsi="Times New Roman" w:cs="Times New Roman"/>
          <w:color w:val="000000"/>
          <w:spacing w:val="-6"/>
          <w:lang w:val="ru-RU"/>
        </w:rPr>
      </w:pPr>
      <w:r>
        <w:rPr>
          <w:rFonts w:cs="Times New Roman" w:ascii="Times New Roman" w:hAnsi="Times New Roman"/>
          <w:color w:val="000000"/>
          <w:spacing w:val="-6"/>
          <w:lang w:val="ru-RU"/>
        </w:rPr>
        <w:t>города Челябинска, главный архитектор                                                                           П. Д. Крутолапов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567" w:top="1126" w:footer="0" w:bottom="567" w:gutter="0"/>
      <w:pgNumType w:fmt="decimal"/>
      <w:formProt w:val="false"/>
      <w:titlePg/>
      <w:textDirection w:val="lrTb"/>
      <w:docGrid w:type="default" w:linePitch="312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;宋体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Указатель1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;宋体" w:cs="Times New Roman"/>
      <w:color w:val="auto"/>
      <w:kern w:val="2"/>
      <w:sz w:val="26"/>
      <w:szCs w:val="26"/>
      <w:lang w:val="ru-RU" w:eastAsia="zh-CN" w:bidi="hi-IN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TableParagraph">
    <w:name w:val="Table Paragraph"/>
    <w:basedOn w:val="Normal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LibreOffice/7.0.0.3$Windows_X86_64 LibreOffice_project/8061b3e9204bef6b321a21033174034a5e2ea88e</Application>
  <Pages>2</Pages>
  <Words>381</Words>
  <Characters>3149</Characters>
  <CharactersWithSpaces>3567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Олеся Борисовна Балчий-оол</dc:creator>
  <dc:description/>
  <dc:language>ru-RU</dc:language>
  <cp:lastModifiedBy/>
  <cp:lastPrinted>1995-11-21T17:41:00Z</cp:lastPrinted>
  <dcterms:modified xsi:type="dcterms:W3CDTF">2023-03-13T10:05:55Z</dcterms:modified>
  <cp:revision>15</cp:revision>
  <dc:subject/>
  <dc:title/>
</cp:coreProperties>
</file>