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B09" w:rsidRPr="009F78FC" w:rsidRDefault="000D635B" w:rsidP="000141B1">
      <w:pPr>
        <w:ind w:left="10915"/>
      </w:pPr>
      <w:r>
        <w:rPr>
          <w:rStyle w:val="a3"/>
          <w:rFonts w:ascii="Times New Roman" w:eastAsia="Calibri" w:hAnsi="Times New Roman" w:cs="Times New Roman"/>
          <w:b w:val="0"/>
          <w:bCs w:val="0"/>
          <w:color w:val="000000"/>
          <w:spacing w:val="-6"/>
          <w:lang w:val="ru-RU" w:eastAsia="en-US"/>
        </w:rPr>
        <w:t>Приложение</w:t>
      </w:r>
      <w:r w:rsidR="009F78FC">
        <w:rPr>
          <w:rStyle w:val="a3"/>
          <w:rFonts w:ascii="Times New Roman" w:eastAsia="Calibri" w:hAnsi="Times New Roman" w:cs="Times New Roman"/>
          <w:b w:val="0"/>
          <w:bCs w:val="0"/>
          <w:color w:val="000000"/>
          <w:spacing w:val="-6"/>
          <w:lang w:eastAsia="en-US"/>
        </w:rPr>
        <w:t xml:space="preserve"> 2</w:t>
      </w:r>
    </w:p>
    <w:p w:rsidR="00D21B09" w:rsidRDefault="00D21B09" w:rsidP="000141B1">
      <w:pPr>
        <w:ind w:left="5387"/>
        <w:rPr>
          <w:rStyle w:val="a3"/>
          <w:rFonts w:ascii="Times New Roman" w:eastAsia="Calibri" w:hAnsi="Times New Roman" w:cs="Times New Roman"/>
          <w:b w:val="0"/>
          <w:bCs w:val="0"/>
          <w:color w:val="000000"/>
          <w:spacing w:val="-6"/>
          <w:lang w:val="ru-RU" w:eastAsia="en-US"/>
        </w:rPr>
      </w:pPr>
    </w:p>
    <w:p w:rsidR="00D21B09" w:rsidRDefault="000141B1" w:rsidP="000141B1">
      <w:pPr>
        <w:ind w:left="5387"/>
        <w:rPr>
          <w:lang w:val="ru-RU"/>
        </w:rPr>
      </w:pPr>
      <w:r>
        <w:rPr>
          <w:rStyle w:val="a3"/>
          <w:rFonts w:ascii="Times New Roman" w:eastAsia="Calibri" w:hAnsi="Times New Roman" w:cs="Times New Roman"/>
          <w:b w:val="0"/>
          <w:bCs w:val="0"/>
          <w:color w:val="000000"/>
          <w:spacing w:val="-6"/>
          <w:lang w:val="ru-RU" w:eastAsia="en-US"/>
        </w:rPr>
        <w:t xml:space="preserve">                                                                                                      </w:t>
      </w:r>
      <w:r w:rsidR="000D635B">
        <w:rPr>
          <w:rStyle w:val="a3"/>
          <w:rFonts w:ascii="Times New Roman" w:eastAsia="Calibri" w:hAnsi="Times New Roman" w:cs="Times New Roman"/>
          <w:b w:val="0"/>
          <w:bCs w:val="0"/>
          <w:color w:val="000000"/>
          <w:spacing w:val="-6"/>
          <w:lang w:val="ru-RU" w:eastAsia="en-US"/>
        </w:rPr>
        <w:t xml:space="preserve">к распоряжению Администрации города </w:t>
      </w:r>
    </w:p>
    <w:p w:rsidR="00D21B09" w:rsidRDefault="000141B1" w:rsidP="000141B1">
      <w:pPr>
        <w:ind w:left="5387"/>
        <w:rPr>
          <w:lang w:val="ru-RU"/>
        </w:rPr>
      </w:pPr>
      <w:r>
        <w:rPr>
          <w:rStyle w:val="a3"/>
          <w:rFonts w:ascii="Times New Roman" w:eastAsia="Calibri" w:hAnsi="Times New Roman" w:cs="Times New Roman"/>
          <w:b w:val="0"/>
          <w:bCs w:val="0"/>
          <w:color w:val="000000"/>
          <w:spacing w:val="-6"/>
          <w:lang w:val="ru-RU" w:eastAsia="en-US"/>
        </w:rPr>
        <w:t xml:space="preserve">                                                                                                      </w:t>
      </w:r>
      <w:r w:rsidR="000D635B">
        <w:rPr>
          <w:rStyle w:val="a3"/>
          <w:rFonts w:ascii="Times New Roman" w:eastAsia="Calibri" w:hAnsi="Times New Roman" w:cs="Times New Roman"/>
          <w:b w:val="0"/>
          <w:bCs w:val="0"/>
          <w:color w:val="000000"/>
          <w:spacing w:val="-6"/>
          <w:lang w:val="ru-RU" w:eastAsia="en-US"/>
        </w:rPr>
        <w:t>от _____________ №_______________</w:t>
      </w:r>
    </w:p>
    <w:p w:rsidR="00D21B09" w:rsidRDefault="00D21B09">
      <w:pPr>
        <w:ind w:firstLine="680"/>
        <w:jc w:val="right"/>
        <w:rPr>
          <w:lang w:val="ru-RU"/>
        </w:rPr>
      </w:pPr>
    </w:p>
    <w:p w:rsidR="00D21B09" w:rsidRDefault="00D21B09">
      <w:pPr>
        <w:ind w:firstLine="680"/>
        <w:jc w:val="right"/>
        <w:rPr>
          <w:lang w:val="ru-RU"/>
        </w:rPr>
      </w:pPr>
    </w:p>
    <w:p w:rsidR="00D21B09" w:rsidRDefault="00D21B09">
      <w:pPr>
        <w:ind w:firstLine="680"/>
        <w:jc w:val="right"/>
        <w:rPr>
          <w:lang w:val="ru-RU"/>
        </w:rPr>
      </w:pPr>
    </w:p>
    <w:p w:rsidR="00D21B09" w:rsidRDefault="000D635B">
      <w:pPr>
        <w:pStyle w:val="ConsPlusNormal"/>
        <w:ind w:firstLine="709"/>
        <w:jc w:val="center"/>
      </w:pPr>
      <w:r>
        <w:rPr>
          <w:rStyle w:val="a3"/>
          <w:rFonts w:eastAsia="Calibri"/>
          <w:b w:val="0"/>
          <w:bCs w:val="0"/>
          <w:color w:val="000000"/>
          <w:spacing w:val="-6"/>
          <w:sz w:val="24"/>
          <w:szCs w:val="24"/>
          <w:lang w:eastAsia="en-US"/>
        </w:rPr>
        <w:t xml:space="preserve">Предельные размеры земельных участков и параметры разрешенного строительства, реконструкции объектов капитального строительства, </w:t>
      </w:r>
      <w:r w:rsidR="000141B1">
        <w:rPr>
          <w:rStyle w:val="a3"/>
          <w:rFonts w:eastAsia="Calibri"/>
          <w:b w:val="0"/>
          <w:bCs w:val="0"/>
          <w:color w:val="000000"/>
          <w:spacing w:val="-6"/>
          <w:sz w:val="24"/>
          <w:szCs w:val="24"/>
          <w:lang w:eastAsia="en-US"/>
        </w:rPr>
        <w:t xml:space="preserve">                   </w:t>
      </w:r>
      <w:r>
        <w:rPr>
          <w:rStyle w:val="a3"/>
          <w:rFonts w:eastAsia="Calibri"/>
          <w:b w:val="0"/>
          <w:bCs w:val="0"/>
          <w:color w:val="000000"/>
          <w:spacing w:val="-6"/>
          <w:sz w:val="24"/>
          <w:szCs w:val="24"/>
          <w:lang w:eastAsia="en-US"/>
        </w:rPr>
        <w:t xml:space="preserve">а также основные виды разрешенного использования, которые могут быть выбраны при реализации решения о комплексном развитии территории нежилой застройки в границах улиц: </w:t>
      </w:r>
      <w:r>
        <w:rPr>
          <w:rStyle w:val="a3"/>
          <w:b w:val="0"/>
          <w:bCs w:val="0"/>
          <w:color w:val="000000"/>
          <w:spacing w:val="-6"/>
          <w:sz w:val="24"/>
          <w:szCs w:val="24"/>
        </w:rPr>
        <w:t xml:space="preserve">Братьев Кашириных, </w:t>
      </w:r>
      <w:proofErr w:type="gramStart"/>
      <w:r>
        <w:rPr>
          <w:rStyle w:val="a3"/>
          <w:b w:val="0"/>
          <w:bCs w:val="0"/>
          <w:color w:val="000000"/>
          <w:spacing w:val="-6"/>
          <w:sz w:val="24"/>
          <w:szCs w:val="24"/>
        </w:rPr>
        <w:t>Ижевской</w:t>
      </w:r>
      <w:proofErr w:type="gramEnd"/>
      <w:r>
        <w:rPr>
          <w:rStyle w:val="a3"/>
          <w:b w:val="0"/>
          <w:bCs w:val="0"/>
          <w:color w:val="000000"/>
          <w:spacing w:val="-6"/>
          <w:sz w:val="24"/>
          <w:szCs w:val="24"/>
        </w:rPr>
        <w:t>, Игнатия Вандышева в Калининском</w:t>
      </w:r>
      <w:r>
        <w:rPr>
          <w:rStyle w:val="a3"/>
          <w:rFonts w:eastAsia="Calibri"/>
          <w:b w:val="0"/>
          <w:bCs w:val="0"/>
          <w:color w:val="000000"/>
          <w:spacing w:val="-6"/>
          <w:sz w:val="24"/>
          <w:szCs w:val="24"/>
          <w:lang w:eastAsia="en-US"/>
        </w:rPr>
        <w:t xml:space="preserve"> районе города Челябинска</w:t>
      </w:r>
    </w:p>
    <w:p w:rsidR="00D21B09" w:rsidRDefault="00D21B09">
      <w:pPr>
        <w:jc w:val="center"/>
        <w:rPr>
          <w:lang w:val="ru-RU"/>
        </w:rPr>
      </w:pPr>
    </w:p>
    <w:tbl>
      <w:tblPr>
        <w:tblStyle w:val="ad"/>
        <w:tblW w:w="149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421"/>
        <w:gridCol w:w="1399"/>
        <w:gridCol w:w="1468"/>
        <w:gridCol w:w="1420"/>
        <w:gridCol w:w="1432"/>
        <w:gridCol w:w="1365"/>
        <w:gridCol w:w="1417"/>
        <w:gridCol w:w="1374"/>
      </w:tblGrid>
      <w:tr w:rsidR="000D635B" w:rsidRPr="009F78FC" w:rsidTr="00E37376">
        <w:trPr>
          <w:tblHeader/>
        </w:trPr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Виды разрешенного использования земельных участков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ind w:left="-82" w:right="-116"/>
              <w:rPr>
                <w:sz w:val="20"/>
              </w:rPr>
            </w:pPr>
            <w:r w:rsidRPr="00970267">
              <w:rPr>
                <w:sz w:val="20"/>
              </w:rPr>
              <w:t>Минимальный размер участка, кв. м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ind w:left="-108" w:right="-113"/>
              <w:rPr>
                <w:sz w:val="20"/>
              </w:rPr>
            </w:pPr>
            <w:r w:rsidRPr="00970267">
              <w:rPr>
                <w:sz w:val="20"/>
              </w:rPr>
              <w:t>Максимальный размер участка, кв. м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ind w:left="-111" w:right="-109"/>
            </w:pPr>
            <w:r w:rsidRPr="00970267">
              <w:rPr>
                <w:sz w:val="20"/>
              </w:rPr>
              <w:t xml:space="preserve">Минимальный отступ от границ красных линий, территорий общего пользования, </w:t>
            </w:r>
            <w:proofErr w:type="gramStart"/>
            <w:r w:rsidRPr="00970267">
              <w:rPr>
                <w:sz w:val="20"/>
              </w:rPr>
              <w:t>м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ind w:left="-115" w:right="-124"/>
              <w:rPr>
                <w:sz w:val="20"/>
              </w:rPr>
            </w:pPr>
            <w:r w:rsidRPr="00970267">
              <w:rPr>
                <w:sz w:val="20"/>
              </w:rPr>
              <w:t>Минимальный процент застройки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ind w:left="-100"/>
              <w:rPr>
                <w:sz w:val="20"/>
              </w:rPr>
            </w:pPr>
            <w:r w:rsidRPr="00970267">
              <w:rPr>
                <w:sz w:val="20"/>
              </w:rPr>
              <w:t>Максимальный процент застройки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106F6D">
            <w:pPr>
              <w:pStyle w:val="TableParagraph"/>
              <w:ind w:left="-96" w:right="-132"/>
              <w:rPr>
                <w:sz w:val="20"/>
              </w:rPr>
            </w:pPr>
            <w:r>
              <w:rPr>
                <w:sz w:val="20"/>
              </w:rPr>
              <w:t>Минимальный процент озеленения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ind w:left="-92" w:right="-136"/>
            </w:pPr>
            <w:proofErr w:type="spellStart"/>
            <w:r w:rsidRPr="00970267">
              <w:rPr>
                <w:sz w:val="20"/>
                <w:lang w:val="en-US"/>
              </w:rPr>
              <w:t>Коэффициент</w:t>
            </w:r>
            <w:proofErr w:type="spellEnd"/>
            <w:r w:rsidRPr="00970267">
              <w:rPr>
                <w:sz w:val="20"/>
                <w:lang w:val="en-US"/>
              </w:rPr>
              <w:t xml:space="preserve"> </w:t>
            </w:r>
            <w:proofErr w:type="spellStart"/>
            <w:r w:rsidRPr="00970267">
              <w:rPr>
                <w:sz w:val="20"/>
                <w:lang w:val="en-US"/>
              </w:rPr>
              <w:t>строительного</w:t>
            </w:r>
            <w:proofErr w:type="spellEnd"/>
            <w:r w:rsidRPr="00970267">
              <w:rPr>
                <w:sz w:val="20"/>
                <w:lang w:val="en-US"/>
              </w:rPr>
              <w:t xml:space="preserve"> </w:t>
            </w:r>
            <w:proofErr w:type="spellStart"/>
            <w:r w:rsidRPr="00970267">
              <w:rPr>
                <w:sz w:val="20"/>
                <w:lang w:val="en-US"/>
              </w:rPr>
              <w:t>использования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ind w:left="-88" w:right="-91"/>
              <w:rPr>
                <w:sz w:val="20"/>
              </w:rPr>
            </w:pPr>
            <w:r w:rsidRPr="00970267">
              <w:rPr>
                <w:sz w:val="20"/>
              </w:rPr>
              <w:t>Предельная этажность/ Максимальная высота ОКС, м</w:t>
            </w:r>
          </w:p>
        </w:tc>
      </w:tr>
      <w:tr w:rsidR="000D635B" w:rsidRPr="00970267" w:rsidTr="00E37376">
        <w:tc>
          <w:tcPr>
            <w:tcW w:w="14982" w:type="dxa"/>
            <w:gridSpan w:val="9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b/>
                <w:bCs/>
                <w:sz w:val="20"/>
              </w:rPr>
              <w:t>Основные виды разрешенного использования</w:t>
            </w:r>
          </w:p>
        </w:tc>
      </w:tr>
      <w:tr w:rsidR="000D635B" w:rsidRPr="00970267" w:rsidTr="00E37376">
        <w:trPr>
          <w:trHeight w:val="282"/>
        </w:trPr>
        <w:tc>
          <w:tcPr>
            <w:tcW w:w="3686" w:type="dxa"/>
            <w:shd w:val="clear" w:color="auto" w:fill="auto"/>
          </w:tcPr>
          <w:p w:rsidR="000D635B" w:rsidRPr="00970267" w:rsidRDefault="000D635B" w:rsidP="000141B1">
            <w:pPr>
              <w:pStyle w:val="TableParagraph"/>
              <w:jc w:val="left"/>
            </w:pPr>
            <w:bookmarkStart w:id="0" w:name="_GoBack" w:colFirst="0" w:colLast="0"/>
            <w:r w:rsidRPr="00970267">
              <w:rPr>
                <w:sz w:val="20"/>
              </w:rPr>
              <w:t>(2.1.1) малоэтажная многоквартирная жилая застройка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900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5000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15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1,8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4/НУ</w:t>
            </w:r>
          </w:p>
        </w:tc>
      </w:tr>
      <w:tr w:rsidR="000D635B" w:rsidRPr="00970267" w:rsidTr="00E37376">
        <w:trPr>
          <w:trHeight w:val="282"/>
        </w:trPr>
        <w:tc>
          <w:tcPr>
            <w:tcW w:w="3686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141B1">
            <w:pPr>
              <w:pStyle w:val="TableParagraph"/>
              <w:jc w:val="left"/>
            </w:pPr>
            <w:r w:rsidRPr="00970267">
              <w:rPr>
                <w:sz w:val="20"/>
              </w:rPr>
              <w:t>(2.3) блокированная жилая застройка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150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500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15</w:t>
            </w:r>
          </w:p>
        </w:tc>
        <w:tc>
          <w:tcPr>
            <w:tcW w:w="1432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3/НУ</w:t>
            </w:r>
          </w:p>
        </w:tc>
      </w:tr>
      <w:tr w:rsidR="000D635B" w:rsidRPr="00970267" w:rsidTr="00E37376">
        <w:trPr>
          <w:trHeight w:val="282"/>
        </w:trPr>
        <w:tc>
          <w:tcPr>
            <w:tcW w:w="3686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141B1">
            <w:pPr>
              <w:pStyle w:val="TableParagraph"/>
              <w:jc w:val="left"/>
            </w:pPr>
            <w:r w:rsidRPr="00970267">
              <w:rPr>
                <w:sz w:val="20"/>
              </w:rPr>
              <w:t xml:space="preserve">(2.5) </w:t>
            </w:r>
            <w:proofErr w:type="spellStart"/>
            <w:r w:rsidRPr="00970267">
              <w:rPr>
                <w:sz w:val="20"/>
              </w:rPr>
              <w:t>среднеэтажная</w:t>
            </w:r>
            <w:proofErr w:type="spellEnd"/>
            <w:r w:rsidRPr="00970267">
              <w:rPr>
                <w:sz w:val="20"/>
              </w:rPr>
              <w:t xml:space="preserve"> жилая застройка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3000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15 000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15</w:t>
            </w:r>
          </w:p>
        </w:tc>
        <w:tc>
          <w:tcPr>
            <w:tcW w:w="1432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4,0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8/НУ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141B1">
            <w:pPr>
              <w:pStyle w:val="TableParagraph"/>
              <w:jc w:val="left"/>
            </w:pPr>
            <w:r w:rsidRPr="00970267">
              <w:rPr>
                <w:sz w:val="20"/>
              </w:rPr>
              <w:t>(2.6) многоэтажная жилая застройка (высотная застройка)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4000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15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4,0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sz w:val="20"/>
              </w:rPr>
              <w:t>НУ</w:t>
            </w:r>
            <w:proofErr w:type="gramEnd"/>
            <w:r w:rsidRPr="00970267">
              <w:rPr>
                <w:sz w:val="20"/>
              </w:rPr>
              <w:t>/НУ</w:t>
            </w:r>
          </w:p>
        </w:tc>
      </w:tr>
      <w:bookmarkEnd w:id="0"/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(3.1) коммунальное обслуживание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5000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30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sz w:val="20"/>
              </w:rPr>
              <w:t>НУ</w:t>
            </w:r>
            <w:proofErr w:type="gramEnd"/>
            <w:r w:rsidRPr="00970267">
              <w:rPr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(3.1.1) предоставление коммунальных услуг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5000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30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sz w:val="20"/>
              </w:rPr>
              <w:t>НУ</w:t>
            </w:r>
            <w:proofErr w:type="gramEnd"/>
            <w:r w:rsidRPr="00970267">
              <w:rPr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5000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30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sz w:val="20"/>
              </w:rPr>
              <w:t>НУ</w:t>
            </w:r>
            <w:proofErr w:type="gramEnd"/>
            <w:r w:rsidRPr="00970267">
              <w:rPr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(3.2.4) общежития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30000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30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sz w:val="20"/>
              </w:rPr>
              <w:t>НУ</w:t>
            </w:r>
            <w:proofErr w:type="gramEnd"/>
            <w:r w:rsidRPr="00970267">
              <w:rPr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(3.3) бытовое обслуживание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(3.4.1) амбулаторно-поликлиническое обслуживание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30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(3.5) образование и просвещение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10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141B1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(3.5.1) дошкольное, начальное и среднее общее образование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10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rFonts w:eastAsia="Calibri"/>
                <w:sz w:val="20"/>
              </w:rPr>
            </w:pPr>
            <w:r w:rsidRPr="00970267">
              <w:rPr>
                <w:rFonts w:eastAsia="Calibri"/>
                <w:sz w:val="20"/>
              </w:rPr>
              <w:t>30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141B1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 xml:space="preserve">(3.5.2) среднее и высшее </w:t>
            </w:r>
            <w:r w:rsidRPr="00970267">
              <w:rPr>
                <w:sz w:val="20"/>
              </w:rPr>
              <w:lastRenderedPageBreak/>
              <w:t>профессиональное образование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lastRenderedPageBreak/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30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lastRenderedPageBreak/>
              <w:t>(3.6.1) объекты культурно-досуговой деятельности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15000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30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(3.7.1) осуществление религиозных обрядов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5000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30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(3.8) общественное управление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15000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30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(3.8.1) государственное управление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15000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30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(3.8.2) представительская деятельность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15000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30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32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(3.10.1) амбулаторное ветеринарное обслуживание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2000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30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(4.1) деловое управление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10000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30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(4.4) магазины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5000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30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(4.5) банковская и страховая деятельность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10000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30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(4.6) общественное питание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5000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30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(4.7) гостиничное обслуживание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10000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30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(4.8.1) развлекательные мероприятия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15000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30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(4.9) служебные гаражи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rFonts w:eastAsia="Times New Roman"/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rFonts w:eastAsia="Times New Roman"/>
                <w:sz w:val="20"/>
              </w:rPr>
              <w:t>5000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rFonts w:eastAsia="Times New Roman"/>
                <w:sz w:val="20"/>
              </w:rPr>
              <w:t>НУ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(5.1.1) обеспечение спортивно-зрелищных мероприятий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15000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30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0D635B" w:rsidRDefault="000D635B" w:rsidP="000D635B">
            <w:pPr>
              <w:widowControl w:val="0"/>
              <w:rPr>
                <w:sz w:val="20"/>
                <w:lang w:val="ru-RU"/>
              </w:rPr>
            </w:pPr>
            <w:r w:rsidRPr="000D635B">
              <w:rPr>
                <w:sz w:val="20"/>
                <w:lang w:val="ru-RU"/>
              </w:rPr>
              <w:t>(5.1.2) обеспечение занятий спортом в помещениях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(5.1.3) площадки для занятий спортом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68" w:type="dxa"/>
            <w:shd w:val="clear" w:color="auto" w:fill="auto"/>
          </w:tcPr>
          <w:p w:rsidR="000D635B" w:rsidRPr="000D635B" w:rsidRDefault="000D635B" w:rsidP="00106F6D">
            <w:pPr>
              <w:widowControl w:val="0"/>
              <w:ind w:right="-72"/>
              <w:jc w:val="center"/>
              <w:rPr>
                <w:sz w:val="20"/>
                <w:lang w:val="ru-RU"/>
              </w:rPr>
            </w:pPr>
            <w:r w:rsidRPr="000D635B">
              <w:rPr>
                <w:sz w:val="20"/>
                <w:lang w:val="ru-RU"/>
              </w:rPr>
              <w:t xml:space="preserve">0 – не менее </w:t>
            </w:r>
            <w:r w:rsidR="00106F6D">
              <w:rPr>
                <w:sz w:val="20"/>
                <w:lang w:val="ru-RU"/>
              </w:rPr>
              <w:t xml:space="preserve"> </w:t>
            </w:r>
            <w:r w:rsidRPr="000D635B">
              <w:rPr>
                <w:sz w:val="20"/>
                <w:lang w:val="ru-RU"/>
              </w:rPr>
              <w:t>10 м от окон жилых и общественных зданий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(5.1.4) оборудованные площадки для занятий спортом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68" w:type="dxa"/>
            <w:shd w:val="clear" w:color="auto" w:fill="auto"/>
          </w:tcPr>
          <w:p w:rsidR="000D635B" w:rsidRPr="000D635B" w:rsidRDefault="000D635B" w:rsidP="00106F6D">
            <w:pPr>
              <w:widowControl w:val="0"/>
              <w:ind w:right="-72"/>
              <w:jc w:val="center"/>
              <w:rPr>
                <w:sz w:val="20"/>
                <w:lang w:val="ru-RU"/>
              </w:rPr>
            </w:pPr>
            <w:r w:rsidRPr="000D635B">
              <w:rPr>
                <w:sz w:val="20"/>
                <w:lang w:val="ru-RU"/>
              </w:rPr>
              <w:t xml:space="preserve">0 – не менее </w:t>
            </w:r>
            <w:r w:rsidR="00106F6D">
              <w:rPr>
                <w:sz w:val="20"/>
                <w:lang w:val="ru-RU"/>
              </w:rPr>
              <w:t xml:space="preserve"> </w:t>
            </w:r>
            <w:r w:rsidRPr="000D635B">
              <w:rPr>
                <w:sz w:val="20"/>
                <w:lang w:val="ru-RU"/>
              </w:rPr>
              <w:t xml:space="preserve">10 м от окон жилых и общественных </w:t>
            </w:r>
            <w:r w:rsidRPr="000D635B">
              <w:rPr>
                <w:sz w:val="20"/>
                <w:lang w:val="ru-RU"/>
              </w:rPr>
              <w:lastRenderedPageBreak/>
              <w:t>зданий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lastRenderedPageBreak/>
              <w:t>НУ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lastRenderedPageBreak/>
              <w:t>(5.2.1) туристическое обслуживание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(6.8) связь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(6.12) научно-производственная деятельность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(8.3) обеспечение внутреннего правопорядка</w:t>
            </w:r>
          </w:p>
        </w:tc>
        <w:tc>
          <w:tcPr>
            <w:tcW w:w="1421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5000</w:t>
            </w:r>
          </w:p>
        </w:tc>
        <w:tc>
          <w:tcPr>
            <w:tcW w:w="1468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32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65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rFonts w:eastAsia="Calibri"/>
                <w:sz w:val="20"/>
              </w:rPr>
              <w:t>НУ</w:t>
            </w:r>
          </w:p>
        </w:tc>
        <w:tc>
          <w:tcPr>
            <w:tcW w:w="1374" w:type="dxa"/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proofErr w:type="gramStart"/>
            <w:r w:rsidRPr="00970267">
              <w:rPr>
                <w:rFonts w:eastAsia="Calibri"/>
                <w:sz w:val="20"/>
              </w:rPr>
              <w:t>НУ</w:t>
            </w:r>
            <w:proofErr w:type="gramEnd"/>
            <w:r w:rsidRPr="00970267">
              <w:rPr>
                <w:rFonts w:eastAsia="Calibri"/>
                <w:sz w:val="20"/>
              </w:rPr>
              <w:t>/НУ</w:t>
            </w:r>
          </w:p>
        </w:tc>
      </w:tr>
      <w:tr w:rsidR="000D635B" w:rsidRPr="00970267" w:rsidTr="00E37376">
        <w:tc>
          <w:tcPr>
            <w:tcW w:w="3686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(12.0) земельные участки (территории) общего пользования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32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НУ/НУ</w:t>
            </w:r>
          </w:p>
        </w:tc>
      </w:tr>
      <w:tr w:rsidR="000D635B" w:rsidRPr="00970267" w:rsidTr="00E37376">
        <w:tc>
          <w:tcPr>
            <w:tcW w:w="3686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(12.0.1) улично-дорожная сеть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32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rPr>
                <w:sz w:val="20"/>
              </w:rPr>
            </w:pPr>
            <w:r w:rsidRPr="00970267">
              <w:rPr>
                <w:sz w:val="20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НУ/НУ</w:t>
            </w:r>
          </w:p>
        </w:tc>
      </w:tr>
      <w:tr w:rsidR="000D635B" w:rsidRPr="00970267" w:rsidTr="00E37376">
        <w:tc>
          <w:tcPr>
            <w:tcW w:w="3686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  <w:jc w:val="left"/>
              <w:rPr>
                <w:sz w:val="20"/>
              </w:rPr>
            </w:pPr>
            <w:r w:rsidRPr="00970267">
              <w:rPr>
                <w:sz w:val="20"/>
              </w:rPr>
              <w:t>(12.0.2) благоустройство территории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432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pStyle w:val="TableParagraph"/>
            </w:pPr>
            <w:r w:rsidRPr="00970267">
              <w:rPr>
                <w:sz w:val="20"/>
              </w:rPr>
              <w:t>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0D635B" w:rsidRPr="00970267" w:rsidRDefault="000D635B" w:rsidP="000D635B">
            <w:pPr>
              <w:widowControl w:val="0"/>
              <w:jc w:val="center"/>
              <w:rPr>
                <w:sz w:val="20"/>
              </w:rPr>
            </w:pPr>
            <w:r w:rsidRPr="00970267">
              <w:rPr>
                <w:sz w:val="20"/>
              </w:rPr>
              <w:t>НУ/НУ</w:t>
            </w:r>
          </w:p>
        </w:tc>
      </w:tr>
    </w:tbl>
    <w:p w:rsidR="00D21B09" w:rsidRPr="000A1616" w:rsidRDefault="000D635B" w:rsidP="000141B1">
      <w:pPr>
        <w:jc w:val="both"/>
        <w:rPr>
          <w:rFonts w:ascii="Times New Roman" w:hAnsi="Times New Roman" w:cs="Times New Roman"/>
          <w:lang w:val="ru-RU"/>
        </w:rPr>
      </w:pPr>
      <w:r w:rsidRPr="000A1616">
        <w:rPr>
          <w:rFonts w:ascii="Times New Roman" w:hAnsi="Times New Roman" w:cs="Times New Roman"/>
          <w:lang w:val="ru-RU"/>
        </w:rPr>
        <w:t>НУ – не устанавливаются</w:t>
      </w:r>
    </w:p>
    <w:p w:rsidR="00D21B09" w:rsidRDefault="00D21B09">
      <w:pPr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D21B09" w:rsidRDefault="00D21B09">
      <w:pPr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D21B09" w:rsidRDefault="00D21B09">
      <w:pPr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37376" w:rsidRDefault="00E37376">
      <w:pPr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Н</w:t>
      </w:r>
      <w:r w:rsidR="000D635B">
        <w:rPr>
          <w:rFonts w:ascii="Times New Roman" w:hAnsi="Times New Roman" w:cs="Times New Roman"/>
          <w:color w:val="000000"/>
          <w:lang w:val="ru-RU"/>
        </w:rPr>
        <w:t xml:space="preserve">ачальник Управления </w:t>
      </w:r>
    </w:p>
    <w:p w:rsidR="00D21B09" w:rsidRDefault="000D635B">
      <w:pPr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по архитектурно-градостроительному проектированию</w:t>
      </w:r>
    </w:p>
    <w:p w:rsidR="00D21B09" w:rsidRPr="000D635B" w:rsidRDefault="000D635B">
      <w:pPr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города Челябинска                                                                                             </w:t>
      </w:r>
      <w:r w:rsidR="000141B1">
        <w:rPr>
          <w:rFonts w:ascii="Times New Roman" w:hAnsi="Times New Roman" w:cs="Times New Roman"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</w:t>
      </w:r>
      <w:r w:rsidR="00106F6D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</w:t>
      </w:r>
      <w:r w:rsidR="008153DB">
        <w:rPr>
          <w:rFonts w:ascii="Times New Roman" w:hAnsi="Times New Roman" w:cs="Times New Roman"/>
          <w:color w:val="000000"/>
          <w:lang w:val="ru-RU"/>
        </w:rPr>
        <w:t xml:space="preserve">     </w:t>
      </w:r>
      <w:r>
        <w:rPr>
          <w:rFonts w:ascii="Times New Roman" w:hAnsi="Times New Roman" w:cs="Times New Roman"/>
          <w:color w:val="000000"/>
          <w:lang w:val="ru-RU"/>
        </w:rPr>
        <w:t xml:space="preserve">     О. С. Никитина</w:t>
      </w:r>
    </w:p>
    <w:sectPr w:rsidR="00D21B09" w:rsidRPr="000D635B" w:rsidSect="006E35C9">
      <w:headerReference w:type="even" r:id="rId8"/>
      <w:headerReference w:type="default" r:id="rId9"/>
      <w:headerReference w:type="first" r:id="rId10"/>
      <w:pgSz w:w="16838" w:h="11906" w:orient="landscape"/>
      <w:pgMar w:top="1701" w:right="567" w:bottom="567" w:left="1134" w:header="567" w:footer="0" w:gutter="0"/>
      <w:pgNumType w:start="2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DB" w:rsidRDefault="008153DB">
      <w:r>
        <w:separator/>
      </w:r>
    </w:p>
  </w:endnote>
  <w:endnote w:type="continuationSeparator" w:id="0">
    <w:p w:rsidR="008153DB" w:rsidRDefault="0081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DB" w:rsidRDefault="008153DB">
      <w:r>
        <w:separator/>
      </w:r>
    </w:p>
  </w:footnote>
  <w:footnote w:type="continuationSeparator" w:id="0">
    <w:p w:rsidR="008153DB" w:rsidRDefault="00815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DB" w:rsidRPr="00813C51" w:rsidRDefault="008153DB" w:rsidP="00813C51">
    <w:pPr>
      <w:pStyle w:val="ab"/>
      <w:jc w:val="center"/>
      <w:rPr>
        <w:rFonts w:ascii="Times New Roman" w:hAnsi="Times New Roman" w:cs="Times New Roman"/>
        <w:lang w:val="ru-RU"/>
      </w:rPr>
    </w:pPr>
    <w:r w:rsidRPr="00813C51">
      <w:rPr>
        <w:rFonts w:ascii="Times New Roman" w:hAnsi="Times New Roman" w:cs="Times New Roman"/>
        <w:lang w:val="ru-RU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DB" w:rsidRPr="00813C51" w:rsidRDefault="008153DB" w:rsidP="00813C51">
    <w:pPr>
      <w:pStyle w:val="ab"/>
      <w:jc w:val="center"/>
      <w:rPr>
        <w:rFonts w:ascii="Times New Roman" w:hAnsi="Times New Roman" w:cs="Times New Roman"/>
        <w:lang w:val="ru-RU"/>
      </w:rPr>
    </w:pPr>
    <w:r w:rsidRPr="00813C51">
      <w:rPr>
        <w:rFonts w:ascii="Times New Roman" w:hAnsi="Times New Roman" w:cs="Times New Roman"/>
        <w:lang w:val="ru-RU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DB" w:rsidRDefault="008153DB">
    <w:pPr>
      <w:pStyle w:val="ab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1B09"/>
    <w:rsid w:val="000141B1"/>
    <w:rsid w:val="000A1616"/>
    <w:rsid w:val="000D635B"/>
    <w:rsid w:val="00106F6D"/>
    <w:rsid w:val="00621FFA"/>
    <w:rsid w:val="006E35C9"/>
    <w:rsid w:val="00813C51"/>
    <w:rsid w:val="008153DB"/>
    <w:rsid w:val="009F78FC"/>
    <w:rsid w:val="00D21B09"/>
    <w:rsid w:val="00E3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;Times New Roma" w:eastAsia="SimSun;宋体" w:hAnsi="Liberation Serif;Times New Roma" w:cs="Mangal"/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Указатель1"/>
    <w:basedOn w:val="a"/>
    <w:qFormat/>
    <w:pPr>
      <w:suppressLineNumbers/>
    </w:pPr>
  </w:style>
  <w:style w:type="paragraph" w:customStyle="1" w:styleId="ConsPlusNormal">
    <w:name w:val="ConsPlusNormal"/>
    <w:qFormat/>
    <w:pPr>
      <w:suppressAutoHyphens/>
    </w:pPr>
    <w:rPr>
      <w:rFonts w:ascii="Times New Roman" w:eastAsia="SimSun;宋体" w:hAnsi="Times New Roman" w:cs="Times New Roman"/>
      <w:kern w:val="2"/>
      <w:sz w:val="26"/>
      <w:szCs w:val="26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c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Times New Roman" w:eastAsia="Times New Roman" w:hAnsi="Times New Roman" w:cs="Times New Roman"/>
      <w:lang w:val="ru-RU" w:eastAsia="en-US" w:bidi="ar-SA"/>
    </w:rPr>
  </w:style>
  <w:style w:type="table" w:styleId="ad">
    <w:name w:val="Table Grid"/>
    <w:basedOn w:val="a1"/>
    <w:uiPriority w:val="59"/>
    <w:rsid w:val="000D635B"/>
    <w:pPr>
      <w:suppressAutoHyphens/>
    </w:pPr>
    <w:rPr>
      <w:rFonts w:ascii="Calibri" w:eastAsia="Calibri" w:hAnsi="Calibri" w:cs="Times New Roman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0D635B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0D635B"/>
    <w:rPr>
      <w:rFonts w:ascii="Liberation Serif;Times New Roma" w:eastAsia="SimSun;宋体" w:hAnsi="Liberation Serif;Times New Roma" w:cs="Mangal"/>
      <w:kern w:val="2"/>
      <w:sz w:val="24"/>
      <w:szCs w:val="21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8153DB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53DB"/>
    <w:rPr>
      <w:rFonts w:ascii="Tahoma" w:eastAsia="SimSun;宋体" w:hAnsi="Tahoma" w:cs="Mangal"/>
      <w:kern w:val="2"/>
      <w:sz w:val="16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;Times New Roma" w:eastAsia="SimSun;宋体" w:hAnsi="Liberation Serif;Times New Roma" w:cs="Mangal"/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Указатель1"/>
    <w:basedOn w:val="a"/>
    <w:qFormat/>
    <w:pPr>
      <w:suppressLineNumbers/>
    </w:pPr>
  </w:style>
  <w:style w:type="paragraph" w:customStyle="1" w:styleId="ConsPlusNormal">
    <w:name w:val="ConsPlusNormal"/>
    <w:qFormat/>
    <w:pPr>
      <w:suppressAutoHyphens/>
    </w:pPr>
    <w:rPr>
      <w:rFonts w:ascii="Times New Roman" w:eastAsia="SimSun;宋体" w:hAnsi="Times New Roman" w:cs="Times New Roman"/>
      <w:kern w:val="2"/>
      <w:sz w:val="26"/>
      <w:szCs w:val="26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c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Times New Roman" w:eastAsia="Times New Roman" w:hAnsi="Times New Roman" w:cs="Times New Roman"/>
      <w:lang w:val="ru-RU" w:eastAsia="en-US" w:bidi="ar-SA"/>
    </w:rPr>
  </w:style>
  <w:style w:type="table" w:styleId="ad">
    <w:name w:val="Table Grid"/>
    <w:basedOn w:val="a1"/>
    <w:uiPriority w:val="59"/>
    <w:rsid w:val="000D635B"/>
    <w:pPr>
      <w:suppressAutoHyphens/>
    </w:pPr>
    <w:rPr>
      <w:rFonts w:ascii="Calibri" w:eastAsia="Calibri" w:hAnsi="Calibri" w:cs="Times New Roman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0D635B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0D635B"/>
    <w:rPr>
      <w:rFonts w:ascii="Liberation Serif;Times New Roma" w:eastAsia="SimSun;宋体" w:hAnsi="Liberation Serif;Times New Roma" w:cs="Mangal"/>
      <w:kern w:val="2"/>
      <w:sz w:val="24"/>
      <w:szCs w:val="21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8153DB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53DB"/>
    <w:rPr>
      <w:rFonts w:ascii="Tahoma" w:eastAsia="SimSun;宋体" w:hAnsi="Tahoma" w:cs="Mangal"/>
      <w:kern w:val="2"/>
      <w:sz w:val="16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FE30-6FBE-4FBA-8D8F-88F924CB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Борисовна Балчий-оол</dc:creator>
  <cp:lastModifiedBy>Elena S. Breusova</cp:lastModifiedBy>
  <cp:revision>2</cp:revision>
  <cp:lastPrinted>2024-03-29T10:37:00Z</cp:lastPrinted>
  <dcterms:created xsi:type="dcterms:W3CDTF">2024-04-01T05:11:00Z</dcterms:created>
  <dcterms:modified xsi:type="dcterms:W3CDTF">2024-04-01T05:11:00Z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