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B" w:rsidRPr="00C10F5D" w:rsidRDefault="00FE6C77">
      <w:pPr>
        <w:ind w:left="5387"/>
        <w:rPr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</w:rPr>
        <w:t xml:space="preserve">                                                                                                                 </w:t>
      </w:r>
      <w:r w:rsidR="00C10F5D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</w:rPr>
        <w:t xml:space="preserve"> </w:t>
      </w:r>
      <w:r w:rsidRPr="00C10F5D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sz w:val="24"/>
          <w:szCs w:val="24"/>
        </w:rPr>
        <w:t>Приложение 3</w:t>
      </w:r>
    </w:p>
    <w:p w:rsidR="008F6DCB" w:rsidRPr="00C10F5D" w:rsidRDefault="00FE6C77">
      <w:pPr>
        <w:ind w:left="5387"/>
        <w:jc w:val="both"/>
        <w:rPr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</w:rPr>
        <w:t xml:space="preserve">                                                                                                             </w:t>
      </w:r>
      <w:r w:rsidR="00D91538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</w:rPr>
        <w:t xml:space="preserve">     </w:t>
      </w:r>
      <w:r w:rsidRPr="00C10F5D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sz w:val="24"/>
          <w:szCs w:val="24"/>
        </w:rPr>
        <w:t>к распоряжению Администрации города</w:t>
      </w:r>
    </w:p>
    <w:p w:rsidR="008F6DCB" w:rsidRPr="00C10F5D" w:rsidRDefault="00FE6C77">
      <w:pPr>
        <w:ind w:left="5387"/>
        <w:jc w:val="both"/>
        <w:rPr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</w:rPr>
        <w:t xml:space="preserve">                                                                                                                  </w:t>
      </w:r>
      <w:r w:rsidRPr="00C10F5D"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sz w:val="24"/>
          <w:szCs w:val="24"/>
        </w:rPr>
        <w:t>от ________________ № ______________</w:t>
      </w:r>
    </w:p>
    <w:p w:rsidR="008F6DCB" w:rsidRDefault="004125EA">
      <w:pPr>
        <w:pStyle w:val="ConsPlusNormal"/>
        <w:spacing w:line="276" w:lineRule="auto"/>
        <w:ind w:firstLine="709"/>
        <w:jc w:val="center"/>
      </w:pPr>
      <w:r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О</w:t>
      </w:r>
      <w:r w:rsidRPr="004125EA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сновные виды разрешенного использования</w:t>
      </w:r>
      <w:r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,</w:t>
      </w:r>
      <w:r w:rsidRPr="004125EA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п</w:t>
      </w:r>
      <w:r w:rsidR="00FE6C77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редельные параметры разрешенного строительства, реконструкции объектов капитального строительства</w:t>
      </w:r>
      <w:r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, </w:t>
      </w:r>
      <w:r w:rsidR="00FE6C77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которые могут быть выбраны при реализации решения о комплексном развитии </w:t>
      </w:r>
      <w:r w:rsidR="00832B1B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территории </w:t>
      </w:r>
      <w:r w:rsidR="00FE6C77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жилой застройки в границах</w:t>
      </w:r>
      <w:r w:rsidR="00323D6E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 улиц</w:t>
      </w:r>
      <w:r w:rsidR="00FE6C77">
        <w:rPr>
          <w:rFonts w:eastAsia="Calibri"/>
          <w:color w:val="000000"/>
          <w:sz w:val="24"/>
          <w:szCs w:val="24"/>
          <w:lang w:eastAsia="en-US"/>
        </w:rPr>
        <w:t xml:space="preserve"> Социалистическ</w:t>
      </w:r>
      <w:r w:rsidR="00323D6E">
        <w:rPr>
          <w:rFonts w:eastAsia="Calibri"/>
          <w:color w:val="000000"/>
          <w:sz w:val="24"/>
          <w:szCs w:val="24"/>
          <w:lang w:eastAsia="en-US"/>
        </w:rPr>
        <w:t>ой</w:t>
      </w:r>
      <w:r w:rsidR="00FE6C77">
        <w:rPr>
          <w:rFonts w:eastAsia="Calibri"/>
          <w:color w:val="000000"/>
          <w:sz w:val="24"/>
          <w:szCs w:val="24"/>
          <w:lang w:eastAsia="en-US"/>
        </w:rPr>
        <w:t>,</w:t>
      </w:r>
      <w:bookmarkStart w:id="0" w:name="_GoBack"/>
      <w:bookmarkEnd w:id="0"/>
      <w:r w:rsidR="00FE6C77">
        <w:rPr>
          <w:rFonts w:eastAsia="Calibri"/>
          <w:color w:val="000000"/>
          <w:sz w:val="24"/>
          <w:szCs w:val="24"/>
          <w:lang w:eastAsia="en-US"/>
        </w:rPr>
        <w:t xml:space="preserve"> Жукова, Мира, Дегтярева </w:t>
      </w:r>
      <w:r w:rsidR="00FE6C77">
        <w:rPr>
          <w:rStyle w:val="a3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>в Металлургическом районе города Челябинска</w:t>
      </w:r>
    </w:p>
    <w:p w:rsidR="008F6DCB" w:rsidRDefault="008F6DCB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tbl>
      <w:tblPr>
        <w:tblW w:w="1502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543"/>
        <w:gridCol w:w="1468"/>
        <w:gridCol w:w="1418"/>
        <w:gridCol w:w="1431"/>
        <w:gridCol w:w="1372"/>
        <w:gridCol w:w="1417"/>
        <w:gridCol w:w="1417"/>
      </w:tblGrid>
      <w:tr w:rsidR="008F6DCB" w:rsidRPr="00C10F5D" w:rsidTr="00C10F5D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82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115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процент застройки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96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озеленения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92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Коэффициент</w:t>
            </w: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строительного</w:t>
            </w: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Предельная этажность/ максимальная высота </w:t>
            </w:r>
            <w:proofErr w:type="spellStart"/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</w:t>
            </w:r>
            <w:proofErr w:type="spellEnd"/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</w:tr>
      <w:tr w:rsidR="008F6DCB" w:rsidRPr="00C10F5D" w:rsidTr="00C10F5D"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8F6DCB" w:rsidRPr="00C10F5D" w:rsidTr="00C10F5D">
        <w:trPr>
          <w:trHeight w:val="2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(2.1.1) малоэтажная многоквартирная жилая застройка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4/НУ</w:t>
            </w:r>
          </w:p>
        </w:tc>
      </w:tr>
      <w:tr w:rsidR="008F6DCB" w:rsidRPr="00C10F5D" w:rsidTr="00C10F5D">
        <w:trPr>
          <w:trHeight w:val="282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3/НУ</w:t>
            </w:r>
          </w:p>
        </w:tc>
      </w:tr>
      <w:tr w:rsidR="008F6DCB" w:rsidRPr="00C10F5D" w:rsidTr="00C10F5D">
        <w:trPr>
          <w:trHeight w:val="282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(2.5) </w:t>
            </w:r>
            <w:proofErr w:type="spellStart"/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(2.6) многоэтажная жилая застройка (высотная застройка)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(3.1) коммунальное обслуживание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(3.2.4) общежития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(3.5) образование и просвещение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(3.5.1) дошкольное, начальное и среднее общее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(3.5.2) среднее и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(3.6.1) объекты культурно-досуговой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(3.7.1) осуществление религиозных обрядов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(3.8) общественное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(3.8.1) государственное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(3.8.2) представительская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(3.10.1) амбулаторное ветеринарное обслуживание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(4.1) деловое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(4.5) банковская и страховая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(4.6) общественное 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(4.7) гостиничное обслуживание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(4.8.1) развлекательные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(5.1.1) обеспечение спортивно-зрелищных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Default="00FE6C77" w:rsidP="00DC4D6F">
            <w:pPr>
              <w:widowControl w:val="0"/>
              <w:spacing w:after="0" w:line="240" w:lineRule="auto"/>
              <w:ind w:left="-92" w:righ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0 – не менее 10 м от окон жилых и общественных зданий</w:t>
            </w:r>
          </w:p>
          <w:p w:rsidR="00C10F5D" w:rsidRPr="00C10F5D" w:rsidRDefault="00C10F5D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DC4D6F">
            <w:pPr>
              <w:widowControl w:val="0"/>
              <w:spacing w:after="0" w:line="240" w:lineRule="auto"/>
              <w:ind w:left="-92" w:righ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(5.2.1) туристическое обслуживание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(6.12) научно-производственная деятельность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(12.0) земельные участки (территории) общего пользования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/НУ</w:t>
            </w:r>
          </w:p>
        </w:tc>
      </w:tr>
      <w:tr w:rsidR="008F6DCB" w:rsidRPr="00C10F5D" w:rsidTr="00C10F5D"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0F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F5D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DCB" w:rsidRPr="00C10F5D" w:rsidRDefault="00FE6C77" w:rsidP="00C10F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  <w:proofErr w:type="gramEnd"/>
            <w:r w:rsidRPr="00C10F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/НУ</w:t>
            </w:r>
          </w:p>
        </w:tc>
      </w:tr>
    </w:tbl>
    <w:p w:rsidR="008F6DCB" w:rsidRDefault="00FE6C7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ОКС</w:t>
      </w:r>
      <w:proofErr w:type="spellEnd"/>
      <w:r>
        <w:rPr>
          <w:rFonts w:ascii="Times New Roman" w:hAnsi="Times New Roman" w:cs="Times New Roman"/>
        </w:rPr>
        <w:t xml:space="preserve"> – объект капитального строительства</w:t>
      </w:r>
    </w:p>
    <w:p w:rsidR="008F6DCB" w:rsidRDefault="00FE6C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– не устанавливаются</w:t>
      </w:r>
    </w:p>
    <w:p w:rsidR="008F6DCB" w:rsidRDefault="008F6DCB">
      <w:pPr>
        <w:spacing w:after="0" w:line="240" w:lineRule="auto"/>
        <w:rPr>
          <w:rFonts w:ascii="Times New Roman" w:hAnsi="Times New Roman" w:cs="Times New Roman"/>
        </w:rPr>
      </w:pPr>
    </w:p>
    <w:p w:rsidR="008F6DCB" w:rsidRDefault="008F6DCB">
      <w:pPr>
        <w:spacing w:after="0" w:line="240" w:lineRule="auto"/>
        <w:rPr>
          <w:rFonts w:ascii="Times New Roman" w:hAnsi="Times New Roman" w:cs="Times New Roman"/>
        </w:rPr>
      </w:pPr>
    </w:p>
    <w:p w:rsidR="008F6DCB" w:rsidRDefault="008F6DCB">
      <w:pPr>
        <w:spacing w:after="0" w:line="240" w:lineRule="auto"/>
        <w:rPr>
          <w:rFonts w:ascii="Times New Roman" w:hAnsi="Times New Roman" w:cs="Times New Roman"/>
        </w:rPr>
      </w:pPr>
    </w:p>
    <w:p w:rsidR="008F6DCB" w:rsidRPr="0091491F" w:rsidRDefault="00FE6C7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1491F">
        <w:rPr>
          <w:rFonts w:ascii="Times New Roman" w:hAnsi="Times New Roman" w:cs="Times New Roman"/>
          <w:sz w:val="24"/>
        </w:rPr>
        <w:t>Исполняющий</w:t>
      </w:r>
      <w:proofErr w:type="gramEnd"/>
      <w:r w:rsidRPr="0091491F">
        <w:rPr>
          <w:rFonts w:ascii="Times New Roman" w:hAnsi="Times New Roman" w:cs="Times New Roman"/>
          <w:sz w:val="24"/>
        </w:rPr>
        <w:t xml:space="preserve"> обязанности начальника Управления </w:t>
      </w:r>
    </w:p>
    <w:p w:rsidR="008F6DCB" w:rsidRPr="0091491F" w:rsidRDefault="00FE6C77">
      <w:pPr>
        <w:spacing w:after="0"/>
        <w:rPr>
          <w:rFonts w:ascii="Times New Roman" w:hAnsi="Times New Roman" w:cs="Times New Roman"/>
          <w:sz w:val="24"/>
        </w:rPr>
      </w:pPr>
      <w:r w:rsidRPr="0091491F">
        <w:rPr>
          <w:rFonts w:ascii="Times New Roman" w:hAnsi="Times New Roman" w:cs="Times New Roman"/>
          <w:sz w:val="24"/>
        </w:rPr>
        <w:t>по архитектурно-градостроительному проектированию</w:t>
      </w:r>
    </w:p>
    <w:p w:rsidR="008F6DCB" w:rsidRPr="0091491F" w:rsidRDefault="00FE6C77">
      <w:pPr>
        <w:spacing w:after="0"/>
        <w:rPr>
          <w:sz w:val="24"/>
        </w:rPr>
      </w:pPr>
      <w:r w:rsidRPr="0091491F">
        <w:rPr>
          <w:rFonts w:ascii="Times New Roman" w:hAnsi="Times New Roman" w:cs="Times New Roman"/>
          <w:sz w:val="24"/>
        </w:rPr>
        <w:t xml:space="preserve">города Челябинска, главного архитектора                                                                                                                   </w:t>
      </w:r>
      <w:r w:rsidR="0091491F" w:rsidRPr="0091491F">
        <w:rPr>
          <w:rFonts w:ascii="Times New Roman" w:hAnsi="Times New Roman" w:cs="Times New Roman"/>
          <w:sz w:val="24"/>
        </w:rPr>
        <w:t xml:space="preserve">                     </w:t>
      </w:r>
      <w:r w:rsidRPr="0091491F">
        <w:rPr>
          <w:rFonts w:ascii="Times New Roman" w:hAnsi="Times New Roman" w:cs="Times New Roman"/>
          <w:sz w:val="24"/>
        </w:rPr>
        <w:t xml:space="preserve">           </w:t>
      </w:r>
      <w:r w:rsidR="001856C1">
        <w:rPr>
          <w:rFonts w:ascii="Times New Roman" w:hAnsi="Times New Roman" w:cs="Times New Roman"/>
          <w:sz w:val="24"/>
        </w:rPr>
        <w:t xml:space="preserve">Н. В. </w:t>
      </w:r>
      <w:proofErr w:type="spellStart"/>
      <w:r w:rsidR="001856C1">
        <w:rPr>
          <w:rFonts w:ascii="Times New Roman" w:hAnsi="Times New Roman" w:cs="Times New Roman"/>
          <w:sz w:val="24"/>
        </w:rPr>
        <w:t>Чернушкина</w:t>
      </w:r>
      <w:proofErr w:type="spellEnd"/>
    </w:p>
    <w:sectPr w:rsidR="008F6DCB" w:rsidRPr="0091491F">
      <w:headerReference w:type="even" r:id="rId7"/>
      <w:headerReference w:type="default" r:id="rId8"/>
      <w:pgSz w:w="16838" w:h="11906" w:orient="landscape"/>
      <w:pgMar w:top="1701" w:right="678" w:bottom="993" w:left="1134" w:header="56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5F" w:rsidRDefault="00C5035F">
      <w:pPr>
        <w:spacing w:after="0" w:line="240" w:lineRule="auto"/>
      </w:pPr>
      <w:r>
        <w:separator/>
      </w:r>
    </w:p>
  </w:endnote>
  <w:endnote w:type="continuationSeparator" w:id="0">
    <w:p w:rsidR="00C5035F" w:rsidRDefault="00C5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5F" w:rsidRDefault="00C5035F">
      <w:pPr>
        <w:spacing w:after="0" w:line="240" w:lineRule="auto"/>
      </w:pPr>
      <w:r>
        <w:separator/>
      </w:r>
    </w:p>
  </w:footnote>
  <w:footnote w:type="continuationSeparator" w:id="0">
    <w:p w:rsidR="00C5035F" w:rsidRDefault="00C5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B" w:rsidRDefault="00FE6C77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B" w:rsidRDefault="00FE6C77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CB"/>
    <w:rsid w:val="001856C1"/>
    <w:rsid w:val="00323D6E"/>
    <w:rsid w:val="004125EA"/>
    <w:rsid w:val="00832B1B"/>
    <w:rsid w:val="008F6DCB"/>
    <w:rsid w:val="0091491F"/>
    <w:rsid w:val="00C10F5D"/>
    <w:rsid w:val="00C5035F"/>
    <w:rsid w:val="00D91538"/>
    <w:rsid w:val="00DC4D6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1978C3"/>
  </w:style>
  <w:style w:type="character" w:customStyle="1" w:styleId="a5">
    <w:name w:val="Нижний колонтитул Знак"/>
    <w:basedOn w:val="a0"/>
    <w:uiPriority w:val="99"/>
    <w:qFormat/>
    <w:rsid w:val="001978C3"/>
  </w:style>
  <w:style w:type="character" w:customStyle="1" w:styleId="a6">
    <w:name w:val="Текст выноски Знак"/>
    <w:basedOn w:val="a0"/>
    <w:uiPriority w:val="99"/>
    <w:semiHidden/>
    <w:qFormat/>
    <w:rsid w:val="00CA71B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1978C3"/>
  </w:style>
  <w:style w:type="character" w:customStyle="1" w:styleId="a5">
    <w:name w:val="Нижний колонтитул Знак"/>
    <w:basedOn w:val="a0"/>
    <w:uiPriority w:val="99"/>
    <w:qFormat/>
    <w:rsid w:val="001978C3"/>
  </w:style>
  <w:style w:type="character" w:customStyle="1" w:styleId="a6">
    <w:name w:val="Текст выноски Знак"/>
    <w:basedOn w:val="a0"/>
    <w:uiPriority w:val="99"/>
    <w:semiHidden/>
    <w:qFormat/>
    <w:rsid w:val="00CA71B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S. Breusova</dc:creator>
  <dc:description/>
  <cp:lastModifiedBy>Elena S. Breusova</cp:lastModifiedBy>
  <cp:revision>16</cp:revision>
  <cp:lastPrinted>2025-05-21T09:45:00Z</cp:lastPrinted>
  <dcterms:created xsi:type="dcterms:W3CDTF">2024-11-26T05:47:00Z</dcterms:created>
  <dcterms:modified xsi:type="dcterms:W3CDTF">2025-06-02T09:46:00Z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