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D62F56" w:rsidRDefault="008C6DC6" w:rsidP="008C6DC6">
      <w:pPr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 w:rsidR="00C22A6B" w:rsidRPr="00D62F56">
        <w:rPr>
          <w:rFonts w:ascii="Times New Roman" w:hAnsi="Times New Roman"/>
          <w:lang w:val="ru-RU"/>
        </w:rPr>
        <w:t xml:space="preserve">Приложение </w:t>
      </w:r>
      <w:r w:rsidR="00544877" w:rsidRPr="00D62F56">
        <w:rPr>
          <w:rFonts w:ascii="Times New Roman" w:hAnsi="Times New Roman"/>
          <w:lang w:val="ru-RU"/>
        </w:rPr>
        <w:t>4</w:t>
      </w:r>
    </w:p>
    <w:p w:rsidR="000C07EE" w:rsidRPr="00D62F56" w:rsidRDefault="000C07EE">
      <w:pPr>
        <w:rPr>
          <w:rFonts w:ascii="Times New Roman" w:hAnsi="Times New Roman"/>
          <w:lang w:val="ru-RU"/>
        </w:rPr>
      </w:pPr>
    </w:p>
    <w:p w:rsidR="000C07EE" w:rsidRPr="00D62F56" w:rsidRDefault="00C22A6B">
      <w:pPr>
        <w:jc w:val="both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</w:p>
    <w:p w:rsidR="000C07EE" w:rsidRPr="00D62F56" w:rsidRDefault="00C22A6B">
      <w:pPr>
        <w:jc w:val="both"/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725F4A" w:rsidRPr="00D62F56">
        <w:rPr>
          <w:rFonts w:ascii="Times New Roman" w:hAnsi="Times New Roman"/>
          <w:lang w:val="ru-RU"/>
        </w:rPr>
        <w:t xml:space="preserve"> </w:t>
      </w:r>
      <w:r w:rsidRPr="00D62F56">
        <w:rPr>
          <w:rFonts w:ascii="Times New Roman" w:hAnsi="Times New Roman"/>
          <w:lang w:val="ru-RU"/>
        </w:rPr>
        <w:t xml:space="preserve">  от _________________ № ____________</w:t>
      </w:r>
    </w:p>
    <w:p w:rsidR="000C07EE" w:rsidRPr="00D62F56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EE0169" w:rsidRDefault="00544877" w:rsidP="001C049F">
      <w:pPr>
        <w:jc w:val="center"/>
        <w:rPr>
          <w:rFonts w:ascii="Times New Roman" w:hAnsi="Times New Roman"/>
          <w:lang w:val="ru-RU"/>
        </w:rPr>
      </w:pPr>
      <w:proofErr w:type="gramStart"/>
      <w:r w:rsidRPr="00D62F56">
        <w:rPr>
          <w:rFonts w:ascii="Times New Roman" w:hAnsi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1127D2" w:rsidRPr="00D62F56">
        <w:rPr>
          <w:rFonts w:ascii="Times New Roman" w:hAnsi="Times New Roman"/>
          <w:lang w:val="ru-RU"/>
        </w:rPr>
        <w:t xml:space="preserve">                    </w:t>
      </w:r>
      <w:r w:rsidRPr="00D62F56">
        <w:rPr>
          <w:rFonts w:ascii="Times New Roman" w:hAnsi="Times New Roman"/>
          <w:lang w:val="ru-RU"/>
        </w:rPr>
        <w:t xml:space="preserve">для населения на </w:t>
      </w:r>
      <w:r w:rsidR="00EE0169">
        <w:rPr>
          <w:rFonts w:ascii="Times New Roman" w:hAnsi="Times New Roman"/>
          <w:lang w:val="ru-RU"/>
        </w:rPr>
        <w:t xml:space="preserve">территории жилой застройки </w:t>
      </w:r>
      <w:r w:rsidR="007B3542" w:rsidRPr="007B3542">
        <w:rPr>
          <w:rFonts w:ascii="Times New Roman" w:hAnsi="Times New Roman"/>
          <w:lang w:val="ru-RU"/>
        </w:rPr>
        <w:t xml:space="preserve">в границах </w:t>
      </w:r>
      <w:proofErr w:type="spellStart"/>
      <w:r w:rsidR="007B3542" w:rsidRPr="007B3542">
        <w:rPr>
          <w:rFonts w:ascii="Times New Roman" w:hAnsi="Times New Roman"/>
          <w:lang w:val="ru-RU"/>
        </w:rPr>
        <w:t>Копейско</w:t>
      </w:r>
      <w:r w:rsidR="00037FC6">
        <w:rPr>
          <w:rFonts w:ascii="Times New Roman" w:hAnsi="Times New Roman"/>
          <w:lang w:val="ru-RU"/>
        </w:rPr>
        <w:t>го</w:t>
      </w:r>
      <w:proofErr w:type="spellEnd"/>
      <w:r w:rsidR="007B3542" w:rsidRPr="007B3542">
        <w:rPr>
          <w:rFonts w:ascii="Times New Roman" w:hAnsi="Times New Roman"/>
          <w:lang w:val="ru-RU"/>
        </w:rPr>
        <w:t xml:space="preserve"> шоссе,        </w:t>
      </w:r>
      <w:r w:rsidR="00400BA0">
        <w:rPr>
          <w:rFonts w:ascii="Times New Roman" w:hAnsi="Times New Roman"/>
          <w:lang w:val="ru-RU"/>
        </w:rPr>
        <w:t xml:space="preserve">                 ул. Туркменской, ул. Уральской</w:t>
      </w:r>
      <w:r w:rsidR="007B3542" w:rsidRPr="007B3542">
        <w:rPr>
          <w:rFonts w:ascii="Times New Roman" w:hAnsi="Times New Roman"/>
          <w:lang w:val="ru-RU"/>
        </w:rPr>
        <w:t>, ул. Горело</w:t>
      </w:r>
      <w:r w:rsidR="00400BA0">
        <w:rPr>
          <w:rFonts w:ascii="Times New Roman" w:hAnsi="Times New Roman"/>
          <w:lang w:val="ru-RU"/>
        </w:rPr>
        <w:t xml:space="preserve">ва, ул. Пирогова, ул. </w:t>
      </w:r>
      <w:proofErr w:type="spellStart"/>
      <w:r w:rsidR="00400BA0">
        <w:rPr>
          <w:rFonts w:ascii="Times New Roman" w:hAnsi="Times New Roman"/>
          <w:lang w:val="ru-RU"/>
        </w:rPr>
        <w:t>Обуховской</w:t>
      </w:r>
      <w:proofErr w:type="spellEnd"/>
      <w:r w:rsidR="007B3542" w:rsidRPr="007B3542">
        <w:rPr>
          <w:rFonts w:ascii="Times New Roman" w:hAnsi="Times New Roman"/>
          <w:lang w:val="ru-RU"/>
        </w:rPr>
        <w:t xml:space="preserve"> с учетом многоквартирного дома по </w:t>
      </w:r>
      <w:proofErr w:type="spellStart"/>
      <w:r w:rsidR="007B3542" w:rsidRPr="007B3542">
        <w:rPr>
          <w:rFonts w:ascii="Times New Roman" w:hAnsi="Times New Roman"/>
          <w:lang w:val="ru-RU"/>
        </w:rPr>
        <w:t>Копейско</w:t>
      </w:r>
      <w:r w:rsidR="00037FC6">
        <w:rPr>
          <w:rFonts w:ascii="Times New Roman" w:hAnsi="Times New Roman"/>
          <w:lang w:val="ru-RU"/>
        </w:rPr>
        <w:t>му</w:t>
      </w:r>
      <w:proofErr w:type="spellEnd"/>
      <w:r w:rsidR="00037FC6">
        <w:rPr>
          <w:rFonts w:ascii="Times New Roman" w:hAnsi="Times New Roman"/>
          <w:lang w:val="ru-RU"/>
        </w:rPr>
        <w:t xml:space="preserve"> шоссе</w:t>
      </w:r>
      <w:r w:rsidR="007B3542" w:rsidRPr="007B3542">
        <w:rPr>
          <w:rFonts w:ascii="Times New Roman" w:hAnsi="Times New Roman"/>
          <w:lang w:val="ru-RU"/>
        </w:rPr>
        <w:t>, 15 в Ленинском районе города Челябинска</w:t>
      </w:r>
      <w:proofErr w:type="gramEnd"/>
    </w:p>
    <w:p w:rsidR="007B3542" w:rsidRPr="00D62F56" w:rsidRDefault="007B3542" w:rsidP="001C049F">
      <w:pPr>
        <w:jc w:val="center"/>
        <w:rPr>
          <w:lang w:val="ru-RU"/>
        </w:rPr>
      </w:pP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D62F56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для населения</w:t>
      </w:r>
      <w:r w:rsidR="001127D2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7B7EE3" w:rsidRPr="00D62F56">
        <w:rPr>
          <w:rFonts w:ascii="Times New Roman" w:hAnsi="Times New Roman" w:cs="Times New Roman"/>
          <w:lang w:val="ru-RU"/>
        </w:rPr>
        <w:t xml:space="preserve"> (далее – КРТ)</w:t>
      </w:r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1)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п</w:t>
      </w:r>
      <w:r w:rsidRPr="00D62F56">
        <w:rPr>
          <w:rFonts w:ascii="Times New Roman" w:hAnsi="Times New Roman" w:cs="Times New Roman"/>
          <w:lang w:val="ru-RU"/>
        </w:rPr>
        <w:t>ри размещении отдельно стоящих детских дошкольных учреждений и детских образовательных учреждений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на: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20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дошкольных учреждений;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40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образовательных учреждений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2)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ткрытые плоскостные автостоянки не могут занимать более 30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% от площади территориальной зоны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3)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 xml:space="preserve">беспеченность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-местами принимается за 360 </w:t>
      </w:r>
      <w:proofErr w:type="spellStart"/>
      <w:r w:rsidRPr="00D62F56">
        <w:rPr>
          <w:rFonts w:ascii="Times New Roman" w:hAnsi="Times New Roman" w:cs="Times New Roman"/>
          <w:lang w:val="ru-RU"/>
        </w:rPr>
        <w:t>м</w:t>
      </w:r>
      <w:r w:rsidR="00FC5645">
        <w:rPr>
          <w:rFonts w:ascii="Times New Roman" w:hAnsi="Times New Roman" w:cs="Times New Roman"/>
          <w:lang w:val="ru-RU"/>
        </w:rPr>
        <w:t>ашино</w:t>
      </w:r>
      <w:proofErr w:type="spellEnd"/>
      <w:r w:rsidR="00FC5645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человек. 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С учетом формирования сети общественного транспорта в границах территори</w:t>
      </w:r>
      <w:r w:rsidR="007B7EE3" w:rsidRPr="00D62F56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, </w:t>
      </w:r>
      <w:r w:rsidR="00073414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на котор</w:t>
      </w:r>
      <w:r w:rsidR="007B7EE3" w:rsidRPr="00D62F56">
        <w:rPr>
          <w:rFonts w:ascii="Times New Roman" w:hAnsi="Times New Roman" w:cs="Times New Roman"/>
          <w:lang w:val="ru-RU"/>
        </w:rPr>
        <w:t>ых</w:t>
      </w:r>
      <w:r w:rsidRPr="00D62F56">
        <w:rPr>
          <w:rFonts w:ascii="Times New Roman" w:hAnsi="Times New Roman" w:cs="Times New Roman"/>
          <w:lang w:val="ru-RU"/>
        </w:rPr>
        <w:t xml:space="preserve"> приняты решения о КРТ и (или) заключены договоры о КРТ, необходимо сокращение данного показателя до 300 </w:t>
      </w:r>
      <w:r w:rsidR="00FC5645">
        <w:rPr>
          <w:rFonts w:ascii="Times New Roman" w:hAnsi="Times New Roman" w:cs="Times New Roman"/>
          <w:lang w:val="ru-RU"/>
        </w:rPr>
        <w:t>машино-мест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</w:t>
      </w:r>
      <w:r w:rsidR="00073414">
        <w:rPr>
          <w:rFonts w:ascii="Times New Roman" w:hAnsi="Times New Roman" w:cs="Times New Roman"/>
          <w:lang w:val="ru-RU"/>
        </w:rPr>
        <w:t xml:space="preserve">                  </w:t>
      </w:r>
      <w:r w:rsidRPr="00D62F56">
        <w:rPr>
          <w:rFonts w:ascii="Times New Roman" w:hAnsi="Times New Roman" w:cs="Times New Roman"/>
          <w:lang w:val="ru-RU"/>
        </w:rPr>
        <w:t>10-минутной пешеходной доступности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4)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в</w:t>
      </w:r>
      <w:r w:rsidRPr="00D62F56"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5)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размещать на территориях общего пользования </w:t>
      </w:r>
      <w:proofErr w:type="gramStart"/>
      <w:r w:rsidRPr="00D62F56">
        <w:rPr>
          <w:rFonts w:ascii="Times New Roman" w:hAnsi="Times New Roman" w:cs="Times New Roman"/>
          <w:lang w:val="ru-RU"/>
        </w:rPr>
        <w:t>уличной-дорожной</w:t>
      </w:r>
      <w:proofErr w:type="gramEnd"/>
      <w:r w:rsidRPr="00D62F56">
        <w:rPr>
          <w:rFonts w:ascii="Times New Roman" w:hAnsi="Times New Roman" w:cs="Times New Roman"/>
          <w:lang w:val="ru-RU"/>
        </w:rPr>
        <w:t xml:space="preserve"> сети                     не более 10</w:t>
      </w:r>
      <w:r w:rsidR="0046396A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 xml:space="preserve">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 при условии отсутствия жилых помещений на первых этажах зданий, расположенных вдоль красных линий, территорий общего пользования</w:t>
      </w:r>
      <w:r w:rsidR="00CF3E0D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6)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-местами для жилья и коммерции, расположенных в одном объекте капитального строительства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0C07EE" w:rsidRPr="00D62F56" w:rsidRDefault="00544877" w:rsidP="0000651F">
      <w:pPr>
        <w:ind w:firstLine="680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7)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бъекты социальной и коммунальной инфраструктур:</w:t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 w:rsidR="00544877" w:rsidRPr="00CF3E0D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br/>
            </w:r>
            <w:proofErr w:type="spellStart"/>
            <w:r w:rsidRPr="00D62F5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измере</w:t>
            </w:r>
            <w:bookmarkStart w:id="0" w:name="_GoBack"/>
            <w:bookmarkEnd w:id="0"/>
            <w:r w:rsidRPr="00D62F56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Минимально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допустимый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обеспеченности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Максимально допустимый уровень территориальной доступности, м</w:t>
            </w:r>
          </w:p>
        </w:tc>
      </w:tr>
      <w:tr w:rsidR="007846CC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846CC" w:rsidRPr="00D62F56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44877" w:rsidRPr="00CF3E0D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145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800 или 15-ти минутная транспортная доступность</w:t>
            </w:r>
          </w:p>
        </w:tc>
      </w:tr>
      <w:tr w:rsidR="002A7CEE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6DD1" w:rsidRPr="00476DD1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376E6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60</w:t>
            </w:r>
          </w:p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476DD1" w:rsidRPr="00CF3E0D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18,15</w:t>
            </w:r>
          </w:p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F82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1000 или 15-</w:t>
            </w:r>
            <w:proofErr w:type="spellStart"/>
            <w:r w:rsidRPr="00D62F56">
              <w:rPr>
                <w:rFonts w:ascii="Times New Roman" w:hAnsi="Times New Roman" w:cs="Times New Roman"/>
                <w:lang w:val="ru-RU"/>
              </w:rPr>
              <w:t>ти</w:t>
            </w:r>
            <w:proofErr w:type="spellEnd"/>
            <w:r w:rsidRPr="00D62F56">
              <w:rPr>
                <w:rFonts w:ascii="Times New Roman" w:hAnsi="Times New Roman" w:cs="Times New Roman"/>
                <w:lang w:val="ru-RU"/>
              </w:rPr>
              <w:t xml:space="preserve"> минутная транспортная доступность</w:t>
            </w:r>
          </w:p>
        </w:tc>
      </w:tr>
      <w:tr w:rsidR="00476DD1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птеки</w:t>
            </w:r>
            <w:proofErr w:type="spellEnd"/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тыс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476DD1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кв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торговой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552-580</w:t>
            </w:r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476DD1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посадочное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40</w:t>
            </w:r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476DD1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обслуживания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рабочее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476DD1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B5436E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 объект</w:t>
            </w:r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на 9 – 25 тыс. жителей</w:t>
            </w:r>
          </w:p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(по категориям)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476DD1" w:rsidRPr="00D62F56" w:rsidRDefault="00476DD1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1C049F" w:rsidRPr="00D62F56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И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сполняющий</w:t>
      </w:r>
      <w:r w:rsidR="007846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н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>ачальник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а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D62F56" w:rsidRDefault="001C049F" w:rsidP="00F42A96">
      <w:pPr>
        <w:rPr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</w:t>
      </w:r>
      <w:r w:rsidR="00073414">
        <w:rPr>
          <w:rFonts w:ascii="Times New Roman" w:hAnsi="Times New Roman" w:cs="Times New Roman"/>
          <w:spacing w:val="-6"/>
          <w:lang w:val="ru-RU"/>
        </w:rPr>
        <w:t xml:space="preserve">Н. В. </w:t>
      </w:r>
      <w:proofErr w:type="spellStart"/>
      <w:r w:rsidR="00073414"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  <w:r w:rsidR="00073414">
        <w:rPr>
          <w:rFonts w:ascii="Times New Roman" w:hAnsi="Times New Roman" w:cs="Times New Roman"/>
          <w:spacing w:val="-6"/>
          <w:lang w:val="ru-RU"/>
        </w:rPr>
        <w:t xml:space="preserve"> </w:t>
      </w:r>
    </w:p>
    <w:sectPr w:rsidR="000C07EE" w:rsidRPr="00D62F56" w:rsidSect="00476DD1">
      <w:headerReference w:type="default" r:id="rId7"/>
      <w:pgSz w:w="11906" w:h="16838"/>
      <w:pgMar w:top="1126" w:right="567" w:bottom="1135" w:left="1701" w:header="426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2B" w:rsidRDefault="00063E2B" w:rsidP="000C07EE">
      <w:r>
        <w:separator/>
      </w:r>
    </w:p>
  </w:endnote>
  <w:endnote w:type="continuationSeparator" w:id="0">
    <w:p w:rsidR="00063E2B" w:rsidRDefault="00063E2B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2B" w:rsidRDefault="00063E2B" w:rsidP="000C07EE">
      <w:r>
        <w:separator/>
      </w:r>
    </w:p>
  </w:footnote>
  <w:footnote w:type="continuationSeparator" w:id="0">
    <w:p w:rsidR="00063E2B" w:rsidRDefault="00063E2B" w:rsidP="000C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D1" w:rsidRDefault="00476DD1">
    <w:pPr>
      <w:pStyle w:val="ad"/>
      <w:jc w:val="center"/>
    </w:pPr>
  </w:p>
  <w:p w:rsidR="00476DD1" w:rsidRDefault="00476DD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0651F"/>
    <w:rsid w:val="00024FAB"/>
    <w:rsid w:val="0003507C"/>
    <w:rsid w:val="00037FC6"/>
    <w:rsid w:val="00053488"/>
    <w:rsid w:val="000637FE"/>
    <w:rsid w:val="00063E2B"/>
    <w:rsid w:val="00073414"/>
    <w:rsid w:val="000C07EE"/>
    <w:rsid w:val="000F1945"/>
    <w:rsid w:val="001127D2"/>
    <w:rsid w:val="001143AA"/>
    <w:rsid w:val="00180E94"/>
    <w:rsid w:val="00185E75"/>
    <w:rsid w:val="0019456B"/>
    <w:rsid w:val="001947B6"/>
    <w:rsid w:val="001C049F"/>
    <w:rsid w:val="002A7CEE"/>
    <w:rsid w:val="002B7317"/>
    <w:rsid w:val="002E5DC4"/>
    <w:rsid w:val="002F1219"/>
    <w:rsid w:val="00360395"/>
    <w:rsid w:val="00372094"/>
    <w:rsid w:val="00376E66"/>
    <w:rsid w:val="00391E4A"/>
    <w:rsid w:val="003C2194"/>
    <w:rsid w:val="003E4A87"/>
    <w:rsid w:val="00400BA0"/>
    <w:rsid w:val="00436C9E"/>
    <w:rsid w:val="0046396A"/>
    <w:rsid w:val="00470F15"/>
    <w:rsid w:val="00476DD1"/>
    <w:rsid w:val="004E34D4"/>
    <w:rsid w:val="00526402"/>
    <w:rsid w:val="00542770"/>
    <w:rsid w:val="00544877"/>
    <w:rsid w:val="005477AE"/>
    <w:rsid w:val="005C04ED"/>
    <w:rsid w:val="005F2C24"/>
    <w:rsid w:val="006A7FE7"/>
    <w:rsid w:val="006E0648"/>
    <w:rsid w:val="006E663D"/>
    <w:rsid w:val="00725F4A"/>
    <w:rsid w:val="0073545B"/>
    <w:rsid w:val="00741BB2"/>
    <w:rsid w:val="007846CC"/>
    <w:rsid w:val="007B01FD"/>
    <w:rsid w:val="007B3542"/>
    <w:rsid w:val="007B7EE3"/>
    <w:rsid w:val="008C6DC6"/>
    <w:rsid w:val="008E0511"/>
    <w:rsid w:val="008F4D96"/>
    <w:rsid w:val="00951A1F"/>
    <w:rsid w:val="0095314C"/>
    <w:rsid w:val="00986A2A"/>
    <w:rsid w:val="00A90887"/>
    <w:rsid w:val="00A9353A"/>
    <w:rsid w:val="00AB3537"/>
    <w:rsid w:val="00AC5953"/>
    <w:rsid w:val="00B019F1"/>
    <w:rsid w:val="00B5436E"/>
    <w:rsid w:val="00BD0DDD"/>
    <w:rsid w:val="00C22A6B"/>
    <w:rsid w:val="00CA7038"/>
    <w:rsid w:val="00CB5909"/>
    <w:rsid w:val="00CD00C4"/>
    <w:rsid w:val="00CF3E0D"/>
    <w:rsid w:val="00D54DD0"/>
    <w:rsid w:val="00D62F56"/>
    <w:rsid w:val="00DE5933"/>
    <w:rsid w:val="00DE6525"/>
    <w:rsid w:val="00E1262E"/>
    <w:rsid w:val="00E43097"/>
    <w:rsid w:val="00E6144B"/>
    <w:rsid w:val="00E674C2"/>
    <w:rsid w:val="00EE0169"/>
    <w:rsid w:val="00F42A96"/>
    <w:rsid w:val="00FC5645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1">
    <w:name w:val="Заголовок1"/>
    <w:basedOn w:val="a"/>
    <w:next w:val="a5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C07EE"/>
    <w:pPr>
      <w:spacing w:after="140" w:line="288" w:lineRule="auto"/>
    </w:pPr>
  </w:style>
  <w:style w:type="paragraph" w:styleId="a6">
    <w:name w:val="List"/>
    <w:basedOn w:val="a5"/>
    <w:rsid w:val="000C07EE"/>
  </w:style>
  <w:style w:type="paragraph" w:customStyle="1" w:styleId="10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8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9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0C07EE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d">
    <w:name w:val="header"/>
    <w:basedOn w:val="a"/>
    <w:link w:val="ae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">
    <w:name w:val="footer"/>
    <w:basedOn w:val="a"/>
    <w:link w:val="af0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6</cp:revision>
  <cp:lastPrinted>2025-07-29T04:16:00Z</cp:lastPrinted>
  <dcterms:created xsi:type="dcterms:W3CDTF">2025-06-05T10:04:00Z</dcterms:created>
  <dcterms:modified xsi:type="dcterms:W3CDTF">2025-07-31T09:05:00Z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