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CB" w:rsidRPr="00C10F5D" w:rsidRDefault="00FE6C77" w:rsidP="003772CA">
      <w:pPr>
        <w:tabs>
          <w:tab w:val="left" w:pos="10915"/>
        </w:tabs>
        <w:ind w:left="5387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</w:t>
      </w:r>
      <w:r w:rsid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Приложение 3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</w:t>
      </w:r>
      <w:r w:rsidR="00D91538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</w:t>
      </w:r>
      <w:r w:rsidR="00EA06A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</w:t>
      </w:r>
      <w:r w:rsidR="00D91538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к распоряжению Администрации города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от ________________ № ______________</w:t>
      </w:r>
    </w:p>
    <w:p w:rsidR="003772CA" w:rsidRPr="00840D5E" w:rsidRDefault="004125EA" w:rsidP="003772CA">
      <w:pPr>
        <w:pStyle w:val="af0"/>
        <w:spacing w:after="0" w:line="240" w:lineRule="auto"/>
        <w:jc w:val="center"/>
      </w:pPr>
      <w:r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>Основные виды разрешенного использования, п</w:t>
      </w:r>
      <w:r w:rsidR="00FE6C77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редельные </w:t>
      </w:r>
      <w:r w:rsidR="003772CA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размеры земельных участков и предельные </w:t>
      </w:r>
      <w:r w:rsidR="00FE6C77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>параметры разрешенного строительства, реконструкции объектов капитального строительства</w:t>
      </w:r>
      <w:r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, </w:t>
      </w:r>
      <w:r w:rsidR="00FE6C77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которые могут быть выбраны при реализации решения о комплексном развитии </w:t>
      </w:r>
      <w:r w:rsidR="00832B1B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территории </w:t>
      </w:r>
      <w:r w:rsidR="00455B57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>не</w:t>
      </w:r>
      <w:r w:rsidR="00FE6C77" w:rsidRPr="00840D5E">
        <w:rPr>
          <w:rStyle w:val="a3"/>
          <w:rFonts w:eastAsia="Calibri"/>
          <w:b w:val="0"/>
          <w:bCs w:val="0"/>
          <w:color w:val="000000"/>
          <w:spacing w:val="-6"/>
          <w:lang w:eastAsia="en-US"/>
        </w:rPr>
        <w:t xml:space="preserve">жилой застройки </w:t>
      </w:r>
      <w:r w:rsidR="00840D5E" w:rsidRPr="00840D5E">
        <w:t xml:space="preserve">ул. Молдавской, пр. Победы, ул. Жилой, ул. 40-летия Победы </w:t>
      </w:r>
      <w:r w:rsidR="003772CA" w:rsidRPr="00840D5E">
        <w:t xml:space="preserve">с учетом несмежных территорий по пр. Победы </w:t>
      </w:r>
      <w:r w:rsidR="00840D5E" w:rsidRPr="00840D5E">
        <w:t xml:space="preserve">                                               </w:t>
      </w:r>
      <w:r w:rsidR="003772CA" w:rsidRPr="00840D5E">
        <w:t>(от ул. Молдавской до ул. 40-летия Победы, от ул. 40-летия Победы до ул. Чичерина) в Курчатовском районе города Челябинска</w:t>
      </w:r>
    </w:p>
    <w:p w:rsidR="00B7322A" w:rsidRPr="00DE2ED0" w:rsidRDefault="00B7322A" w:rsidP="00B7322A">
      <w:pPr>
        <w:pStyle w:val="ConsPlusNormal"/>
        <w:spacing w:line="276" w:lineRule="auto"/>
        <w:jc w:val="center"/>
        <w:rPr>
          <w:rStyle w:val="a3"/>
          <w:rFonts w:eastAsia="Calibri"/>
          <w:b w:val="0"/>
          <w:bCs w:val="0"/>
          <w:spacing w:val="-6"/>
          <w:sz w:val="22"/>
          <w:szCs w:val="24"/>
          <w:lang w:eastAsia="en-US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69"/>
        <w:gridCol w:w="1476"/>
        <w:gridCol w:w="1417"/>
        <w:gridCol w:w="1418"/>
        <w:gridCol w:w="1417"/>
        <w:gridCol w:w="1418"/>
        <w:gridCol w:w="1417"/>
        <w:gridCol w:w="1418"/>
        <w:gridCol w:w="1418"/>
      </w:tblGrid>
      <w:tr w:rsidR="003772CA" w:rsidRPr="003772CA" w:rsidTr="00291B54">
        <w:trPr>
          <w:tblHeader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82" w:right="-116" w:firstLine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Минимальный размер участка, кв.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размер участка, кв.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111" w:right="-109" w:hanging="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Минимальный отступ от границ красных линий, территорий общего пользования,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115" w:right="-124" w:firstLine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Минимальный процент застройки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100" w:right="-121" w:firstLine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процент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96" w:right="-13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Минимальный процент озеленения*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92" w:right="-136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Коэффициент</w:t>
            </w:r>
            <w:proofErr w:type="spellEnd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строительного</w:t>
            </w:r>
            <w:proofErr w:type="spellEnd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использования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88" w:right="-91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Предельная этажность/ Максимальная высота ОКС, м</w:t>
            </w:r>
          </w:p>
        </w:tc>
      </w:tr>
      <w:tr w:rsidR="003772CA" w:rsidRPr="003772CA" w:rsidTr="00291B54">
        <w:trPr>
          <w:trHeight w:val="282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(2.1.1) малоэтажная многоквартирная жилая застройка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4/НУ</w:t>
            </w:r>
          </w:p>
        </w:tc>
      </w:tr>
      <w:tr w:rsidR="003772CA" w:rsidRPr="003772CA" w:rsidTr="00291B54">
        <w:trPr>
          <w:trHeight w:val="282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(2.3) блокированная жилая застройка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3/НУ</w:t>
            </w:r>
          </w:p>
        </w:tc>
      </w:tr>
      <w:tr w:rsidR="003772CA" w:rsidRPr="003772CA" w:rsidTr="00291B54">
        <w:trPr>
          <w:trHeight w:val="282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(2.5) </w:t>
            </w:r>
            <w:proofErr w:type="spellStart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(2.6) многоэтажная жилая застройка (высотная застройка)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(3.1.1) предоставление коммунальных услуг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(3.1.2) 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(3.2.4) общежития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(3.3) бытовое обслуживание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(3.4.1) амбулаторно-поликлиническое обслуживание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(3.5) образование и просвещение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291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(3.5.1) дошкольное, начальное и среднее общее образование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(3.5.2) среднее и высшее профессиональное образование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(3.6.1) объекты культурно-досуговой деятельности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(3.7.1) осуществление религиозных обрядов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(3.8) общественное управление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(3.8.1) государственное управление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(3.8.2) представительская деятельность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(3.9.1) обеспечение деятельности в области гидрометеорологии и смежных с ней областях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(3.10.1) амбулаторное ветеринарное обслуживание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(4.1) деловое управление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(4.4) магазины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(4.5) банковская и страховая деятельность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(4.6) общественное питание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(4.7) гостиничное обслуживание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(4.8.1) развлекательные мероприятия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(4.9) служебные гаражи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(5.1.1) обеспечение спортивно-зрелищных мероприятий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(5.1.2) обеспечение занятий спортом в помещениях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rPr>
          <w:trHeight w:val="1296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(5.1.3) площадки для занятий спортом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B54" w:rsidRPr="003772CA" w:rsidRDefault="003772CA" w:rsidP="00291B54">
            <w:pPr>
              <w:widowControl w:val="0"/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(5.1.4) оборудованные площадки для занятий спортом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(5.2.1) туристическое обслуживание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(6.8) связь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(8.3) обеспечение внутреннего правопорядка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(12.0) земельные участки (территории) общего пользования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(12.0.1) улично-дорожная сеть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(12.0.2) благоустройство территории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(2.7.2) размещение гаражей для собственных нужд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3772CA" w:rsidRPr="003772CA" w:rsidTr="00291B54"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2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(4.9.2) стоянка транспортных средств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CA" w:rsidRPr="003772CA" w:rsidRDefault="003772CA" w:rsidP="003772CA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72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</w:tbl>
    <w:p w:rsidR="008F6DCB" w:rsidRDefault="00FE6C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 – объект капитального строительства</w:t>
      </w:r>
    </w:p>
    <w:p w:rsidR="008F6DCB" w:rsidRDefault="00FE6C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– не устанавливаются</w:t>
      </w: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Pr="0091491F" w:rsidRDefault="00291B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E6C77" w:rsidRPr="0091491F">
        <w:rPr>
          <w:rFonts w:ascii="Times New Roman" w:hAnsi="Times New Roman" w:cs="Times New Roman"/>
          <w:sz w:val="24"/>
        </w:rPr>
        <w:t xml:space="preserve">ачальник Управления </w:t>
      </w:r>
    </w:p>
    <w:p w:rsidR="008F6DCB" w:rsidRPr="0091491F" w:rsidRDefault="00FE6C77">
      <w:pPr>
        <w:spacing w:after="0"/>
        <w:rPr>
          <w:rFonts w:ascii="Times New Roman" w:hAnsi="Times New Roman" w:cs="Times New Roman"/>
          <w:sz w:val="24"/>
        </w:rPr>
      </w:pPr>
      <w:r w:rsidRPr="0091491F">
        <w:rPr>
          <w:rFonts w:ascii="Times New Roman" w:hAnsi="Times New Roman" w:cs="Times New Roman"/>
          <w:sz w:val="24"/>
        </w:rPr>
        <w:t>по архитектурно-градостроительному проектированию</w:t>
      </w:r>
    </w:p>
    <w:p w:rsidR="008F6DCB" w:rsidRPr="0091491F" w:rsidRDefault="00FE6C77">
      <w:pPr>
        <w:spacing w:after="0"/>
        <w:rPr>
          <w:sz w:val="24"/>
        </w:rPr>
      </w:pPr>
      <w:r w:rsidRPr="0091491F">
        <w:rPr>
          <w:rFonts w:ascii="Times New Roman" w:hAnsi="Times New Roman" w:cs="Times New Roman"/>
          <w:sz w:val="24"/>
        </w:rPr>
        <w:t>города Челябинска</w:t>
      </w:r>
      <w:r w:rsidR="00291B54"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91491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91491F" w:rsidRPr="0091491F">
        <w:rPr>
          <w:rFonts w:ascii="Times New Roman" w:hAnsi="Times New Roman" w:cs="Times New Roman"/>
          <w:sz w:val="24"/>
        </w:rPr>
        <w:t xml:space="preserve">                     </w:t>
      </w:r>
      <w:r w:rsidRPr="0091491F">
        <w:rPr>
          <w:rFonts w:ascii="Times New Roman" w:hAnsi="Times New Roman" w:cs="Times New Roman"/>
          <w:sz w:val="24"/>
        </w:rPr>
        <w:t xml:space="preserve">           </w:t>
      </w:r>
      <w:r w:rsidR="001856C1">
        <w:rPr>
          <w:rFonts w:ascii="Times New Roman" w:hAnsi="Times New Roman" w:cs="Times New Roman"/>
          <w:sz w:val="24"/>
        </w:rPr>
        <w:t xml:space="preserve">Н. В. </w:t>
      </w:r>
      <w:proofErr w:type="spellStart"/>
      <w:r w:rsidR="001856C1">
        <w:rPr>
          <w:rFonts w:ascii="Times New Roman" w:hAnsi="Times New Roman" w:cs="Times New Roman"/>
          <w:sz w:val="24"/>
        </w:rPr>
        <w:t>Чернушкина</w:t>
      </w:r>
      <w:proofErr w:type="spellEnd"/>
    </w:p>
    <w:sectPr w:rsidR="008F6DCB" w:rsidRPr="0091491F">
      <w:headerReference w:type="even" r:id="rId6"/>
      <w:headerReference w:type="default" r:id="rId7"/>
      <w:pgSz w:w="16838" w:h="11906" w:orient="landscape"/>
      <w:pgMar w:top="1701" w:right="678" w:bottom="993" w:left="1134" w:header="56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CA" w:rsidRDefault="003772CA">
      <w:pPr>
        <w:spacing w:after="0" w:line="240" w:lineRule="auto"/>
      </w:pPr>
      <w:r>
        <w:separator/>
      </w:r>
    </w:p>
  </w:endnote>
  <w:endnote w:type="continuationSeparator" w:id="0">
    <w:p w:rsidR="003772CA" w:rsidRDefault="0037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CA" w:rsidRDefault="003772CA">
      <w:pPr>
        <w:spacing w:after="0" w:line="240" w:lineRule="auto"/>
      </w:pPr>
      <w:r>
        <w:separator/>
      </w:r>
    </w:p>
  </w:footnote>
  <w:footnote w:type="continuationSeparator" w:id="0">
    <w:p w:rsidR="003772CA" w:rsidRDefault="0037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CA" w:rsidRDefault="003772CA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CA" w:rsidRDefault="003772CA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CB"/>
    <w:rsid w:val="00032C25"/>
    <w:rsid w:val="000B0F4C"/>
    <w:rsid w:val="000D2AA6"/>
    <w:rsid w:val="001400A1"/>
    <w:rsid w:val="001856C1"/>
    <w:rsid w:val="001E071B"/>
    <w:rsid w:val="002443CA"/>
    <w:rsid w:val="00291B54"/>
    <w:rsid w:val="00323D6E"/>
    <w:rsid w:val="00333666"/>
    <w:rsid w:val="003772CA"/>
    <w:rsid w:val="004125EA"/>
    <w:rsid w:val="00455B57"/>
    <w:rsid w:val="004A68ED"/>
    <w:rsid w:val="0070082E"/>
    <w:rsid w:val="0079092F"/>
    <w:rsid w:val="00832B1B"/>
    <w:rsid w:val="00840D5E"/>
    <w:rsid w:val="008F6DCB"/>
    <w:rsid w:val="0091491F"/>
    <w:rsid w:val="00B7322A"/>
    <w:rsid w:val="00BB3628"/>
    <w:rsid w:val="00C10F5D"/>
    <w:rsid w:val="00C5035F"/>
    <w:rsid w:val="00D91538"/>
    <w:rsid w:val="00DC4D6F"/>
    <w:rsid w:val="00E809AD"/>
    <w:rsid w:val="00E90885"/>
    <w:rsid w:val="00EA06AD"/>
    <w:rsid w:val="00FE6C77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ECF81-DAA3-4153-87D7-6C6EAF40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1978C3"/>
  </w:style>
  <w:style w:type="character" w:customStyle="1" w:styleId="a5">
    <w:name w:val="Нижний колонтитул Знак"/>
    <w:basedOn w:val="a0"/>
    <w:uiPriority w:val="99"/>
    <w:qFormat/>
    <w:rsid w:val="001978C3"/>
  </w:style>
  <w:style w:type="character" w:customStyle="1" w:styleId="a6">
    <w:name w:val="Текст выноски Знак"/>
    <w:basedOn w:val="a0"/>
    <w:uiPriority w:val="99"/>
    <w:semiHidden/>
    <w:qFormat/>
    <w:rsid w:val="00CA71B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qFormat/>
    <w:rsid w:val="003D0A7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D0A7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3772CA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S. Breusova</dc:creator>
  <dc:description/>
  <cp:lastModifiedBy>Ekaterina Silina</cp:lastModifiedBy>
  <cp:revision>3</cp:revision>
  <cp:lastPrinted>2025-07-30T04:00:00Z</cp:lastPrinted>
  <dcterms:created xsi:type="dcterms:W3CDTF">2025-09-25T08:56:00Z</dcterms:created>
  <dcterms:modified xsi:type="dcterms:W3CDTF">2025-09-25T08:57:00Z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