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10773" w:leader="none"/>
        </w:tabs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/>
    </w:p>
    <w:p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города</w:t>
      </w:r>
      <w:r/>
    </w:p>
    <w:p>
      <w:pPr>
        <w:jc w:val="right"/>
        <w:tabs>
          <w:tab w:val="left" w:pos="1077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22.09.2025 № 13155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1"/>
        <w:jc w:val="center"/>
        <w:rPr>
          <w:rStyle w:val="854"/>
          <w:rFonts w:eastAsia="Calibri"/>
          <w:b w:val="0"/>
          <w:bCs w:val="0"/>
          <w:spacing w:val="-6"/>
          <w:sz w:val="24"/>
          <w:szCs w:val="24"/>
          <w:lang w:eastAsia="en-US"/>
        </w:rPr>
      </w:pPr>
      <w:r>
        <w:rPr>
          <w:rStyle w:val="854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Основные виды разрешенного использования, п</w:t>
      </w:r>
      <w:r>
        <w:rPr>
          <w:rStyle w:val="854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редельные размеры земельных участков и параметры разрешенного строительства, реконструкции объектов капитального строительства, которые могут быть выбраны при реализации решения о комплексном развитии </w:t>
      </w:r>
      <w:r>
        <w:rPr>
          <w:rStyle w:val="854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территории </w:t>
      </w:r>
      <w:r>
        <w:rPr>
          <w:sz w:val="24"/>
          <w:szCs w:val="24"/>
        </w:rPr>
        <w:t xml:space="preserve">трех несмежных территорий жилой застройки в границах: </w:t>
      </w:r>
      <w:r>
        <w:rPr>
          <w:sz w:val="24"/>
          <w:szCs w:val="24"/>
        </w:rPr>
        <w:t xml:space="preserve">Комсомольского пр. – ул. Краснознаменной – ул. Островского – ул. Цинковой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                          Свердловского пр. – ул. Островского – пер. Островского – ул. </w:t>
      </w:r>
      <w:r>
        <w:rPr>
          <w:sz w:val="24"/>
          <w:szCs w:val="24"/>
        </w:rPr>
        <w:t xml:space="preserve">Каслинской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пересечени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Свердловского пр. и Комсомольского пр. в Курчатовском районе города Челябинска</w:t>
      </w:r>
      <w:r>
        <w:rPr>
          <w:rStyle w:val="854"/>
          <w:rFonts w:eastAsia="Calibri"/>
          <w:b w:val="0"/>
          <w:bCs w:val="0"/>
          <w:spacing w:val="-6"/>
          <w:sz w:val="24"/>
          <w:szCs w:val="24"/>
          <w:lang w:eastAsia="en-US"/>
        </w:rPr>
      </w:r>
      <w:r>
        <w:rPr>
          <w:rStyle w:val="854"/>
          <w:rFonts w:eastAsia="Calibri"/>
          <w:b w:val="0"/>
          <w:bCs w:val="0"/>
          <w:spacing w:val="-6"/>
          <w:sz w:val="24"/>
          <w:szCs w:val="24"/>
          <w:lang w:eastAsia="en-US"/>
        </w:rPr>
      </w:r>
    </w:p>
    <w:tbl>
      <w:tblPr>
        <w:tblpPr w:horzAnchor="text" w:tblpXSpec="left" w:vertAnchor="text" w:tblpY="1" w:leftFromText="180" w:topFromText="0" w:rightFromText="180" w:bottomFromText="0"/>
        <w:tblW w:w="15184" w:type="dxa"/>
        <w:tblLayout w:type="fixed"/>
        <w:tblLook w:val="0000" w:firstRow="0" w:lastRow="0" w:firstColumn="0" w:lastColumn="0" w:noHBand="0" w:noVBand="0"/>
      </w:tblPr>
      <w:tblGrid>
        <w:gridCol w:w="4074"/>
        <w:gridCol w:w="1421"/>
        <w:gridCol w:w="1326"/>
        <w:gridCol w:w="1559"/>
        <w:gridCol w:w="1254"/>
        <w:gridCol w:w="1431"/>
        <w:gridCol w:w="1271"/>
        <w:gridCol w:w="1430"/>
        <w:gridCol w:w="1418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Виды разрешенного использования земельных участков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ind w:left="-82" w:right="-116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размер участка, кв.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ind w:left="-108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Максимальный размер участка, кв.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-111" w:right="-109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отступ от границ красных линий, территорий общего пользования,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ind w:left="-115" w:right="-124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процент застройки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ind w:left="-100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Максимальный процент застройки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ind w:left="-96" w:right="-13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процент озеленения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ind w:left="-92" w:right="-136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Коэффициент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строительного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использования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right="-91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Предельная этажность/ Максимальная высота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ОКС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(2.1.1) малоэтажная многоквартирная жилая застройка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1,8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4/НУ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(2.3) блокированная жилая застройка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500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3/НУ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(2.5)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среднеэтажная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3000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4,0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8/НУ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(2.6) многоэтажная жилая застройка (высотная застройка)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4000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4,0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(3.1.1) предоставление коммунальных услуг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(3.1.2) административные здания организаций, обеспечивающих предоставление коммунальных услуг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(3.2.4) общежития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30000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(3.3) бытовое обслуживание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(3.4.1) амбулаторно-поликлиническое обслуживание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(3.5) образование и просвещение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(3.5.1) дошкольное, начальное и среднее общее образование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(3.5.2) среднее и высшее профессиональное образование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Виды разрешенного использования земельных участков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ind w:left="-82" w:right="-116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размер участка, кв.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ind w:left="-108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Максимальный размер участка, кв.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-111" w:right="-109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отступ от границ красных линий, территорий общего пользования,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ind w:left="-115" w:right="-124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процент застройки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ind w:left="-100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Максимальный процент застройки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ind w:left="-96" w:right="-13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процент озеленения*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ind w:left="-92" w:right="-136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Коэффициент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строительного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использования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right="-91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Предельная этажность/ Максимальная высота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ОКС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(3.6.1) объекты культурно-досуговой деятельности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(3.7.1) осуществление религиозных обрядов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(3.8) общественное управление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(3.8.1) государственное управление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(3.8.2) представительская деятельность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(3.9.1) обеспечение деятельности в области гидрометеорологии и смежных с ней областях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(3.10.1) амбулаторное ветеринарное обслуживание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(4.1) деловое управление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(4.4) магазины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(4.5) банковская и страховая деятельность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(4.6) общественное питание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(4.7) гостиничное обслуживание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(4.8.1) развлекательные мероприятия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(4.9) служебные гаражи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(5.1.1) обеспечение спортивно-зрелищных мероприятий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(5.1.2) обеспечение занятий спортом в помещениях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(5.1.3) площадки для занятий спортом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Виды разрешенного использования земельных участков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ind w:left="-82" w:right="-116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размер участка, кв.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ind w:left="-108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Максимальный размер участка, кв.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-111" w:right="-109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отступ от границ красных линий, территорий общего пользования,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ind w:left="-115" w:right="-124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процент застройки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ind w:left="-100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Максимальный процент застройки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ind w:left="-96" w:right="-132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Минимальный процент озеленения*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ind w:left="-92" w:right="-136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Коэффициент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строительного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val="en-US" w:eastAsia="ru-RU"/>
              </w:rPr>
              <w:t xml:space="preserve">использования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right="-91"/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Предельная этажность/ Максимальная высота 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ОКС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(5.1.4) оборудованные площадки для занятий спортом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(5.2.1) туристическое обслуживание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(6.8) связь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(6.12) научно-производственная деятельность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(8.3) обеспечение внутреннего правопорядка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(12.0) земельные участки (территории) общего пользования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(12.0.1) улично-дорожная сеть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(12.0.2) благоустройство территории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(2.7.2) размещение гаражей для собственных нужд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contextualSpacing/>
              <w:spacing w:after="0" w:line="228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(4.9.2) стоянка транспортных средств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6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0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widowControl w:val="off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 – не устанавливаются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объект капитального 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архитектурно-градостроительному проектированию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Челябинска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Н. В. </w:t>
      </w:r>
      <w:r>
        <w:rPr>
          <w:rFonts w:ascii="Times New Roman" w:hAnsi="Times New Roman" w:cs="Times New Roman"/>
          <w:sz w:val="24"/>
          <w:szCs w:val="24"/>
        </w:rPr>
        <w:t xml:space="preserve">Чернушкина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701" w:right="678" w:bottom="993" w:left="1134" w:header="56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imSun">
    <w:panose1 w:val="02000506000000020000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3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63"/>
    <w:uiPriority w:val="99"/>
  </w:style>
  <w:style w:type="character" w:styleId="705">
    <w:name w:val="Footer Char"/>
    <w:basedOn w:val="851"/>
    <w:link w:val="865"/>
    <w:uiPriority w:val="99"/>
  </w:style>
  <w:style w:type="character" w:styleId="706">
    <w:name w:val="Caption Char"/>
    <w:basedOn w:val="858"/>
    <w:link w:val="865"/>
    <w:uiPriority w:val="99"/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200" w:line="276" w:lineRule="auto"/>
    </w:p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>
    <w:name w:val="Strong"/>
    <w:qFormat/>
    <w:rPr>
      <w:b/>
      <w:bCs/>
    </w:rPr>
  </w:style>
  <w:style w:type="paragraph" w:styleId="855" w:customStyle="1">
    <w:name w:val="Заголовок"/>
    <w:basedOn w:val="850"/>
    <w:next w:val="856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856">
    <w:name w:val="Body Text"/>
    <w:basedOn w:val="850"/>
    <w:pPr>
      <w:spacing w:after="140"/>
    </w:pPr>
  </w:style>
  <w:style w:type="paragraph" w:styleId="857">
    <w:name w:val="List"/>
    <w:basedOn w:val="856"/>
    <w:rPr>
      <w:rFonts w:cs="Arial Unicode MS"/>
    </w:rPr>
  </w:style>
  <w:style w:type="paragraph" w:styleId="858">
    <w:name w:val="Caption"/>
    <w:basedOn w:val="850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59">
    <w:name w:val="index heading"/>
    <w:basedOn w:val="850"/>
    <w:qFormat/>
    <w:pPr>
      <w:suppressLineNumbers/>
    </w:pPr>
    <w:rPr>
      <w:rFonts w:cs="Arial Unicode MS"/>
    </w:rPr>
  </w:style>
  <w:style w:type="paragraph" w:styleId="860" w:customStyle="1">
    <w:name w:val="Table Paragraph"/>
    <w:basedOn w:val="850"/>
    <w:uiPriority w:val="1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61" w:customStyle="1">
    <w:name w:val="ConsPlusNormal"/>
    <w:qFormat/>
    <w:rPr>
      <w:rFonts w:ascii="Times New Roman" w:hAnsi="Times New Roman" w:eastAsia="SimSun" w:cs="Times New Roman"/>
      <w:sz w:val="26"/>
      <w:szCs w:val="26"/>
      <w:lang w:eastAsia="zh-CN" w:bidi="hi-IN"/>
    </w:rPr>
  </w:style>
  <w:style w:type="table" w:styleId="862">
    <w:name w:val="Table Grid"/>
    <w:basedOn w:val="852"/>
    <w:uiPriority w:val="59"/>
    <w:rPr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3">
    <w:name w:val="Header"/>
    <w:basedOn w:val="850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1"/>
    <w:link w:val="863"/>
    <w:uiPriority w:val="99"/>
  </w:style>
  <w:style w:type="paragraph" w:styleId="865">
    <w:name w:val="Footer"/>
    <w:basedOn w:val="850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1"/>
    <w:link w:val="865"/>
    <w:uiPriority w:val="99"/>
  </w:style>
  <w:style w:type="paragraph" w:styleId="867">
    <w:name w:val="Balloon Text"/>
    <w:basedOn w:val="850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51"/>
    <w:link w:val="86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Breusova</dc:creator>
  <dc:language>ru-RU</dc:language>
  <cp:revision>6</cp:revision>
  <dcterms:created xsi:type="dcterms:W3CDTF">2025-09-09T03:57:00Z</dcterms:created>
  <dcterms:modified xsi:type="dcterms:W3CDTF">2025-09-22T12:03:13Z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