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5387" w:leader="none"/>
        </w:tabs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 xml:space="preserve">4</w:t>
      </w:r>
      <w:r>
        <w:rPr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от 22.09.2025  № 13155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/>
          <w:lang w:val="ru-RU"/>
        </w:rPr>
        <w:t xml:space="preserve">                    </w:t>
      </w:r>
      <w:r>
        <w:rPr>
          <w:rFonts w:ascii="Times New Roman" w:hAnsi="Times New Roman"/>
          <w:lang w:val="ru-RU"/>
        </w:rPr>
        <w:t xml:space="preserve">для </w:t>
      </w:r>
      <w:r>
        <w:rPr>
          <w:rFonts w:ascii="Times New Roman" w:hAnsi="Times New Roman"/>
          <w:lang w:val="ru-RU"/>
        </w:rPr>
        <w:t xml:space="preserve">трех несмежных территорий жилой застройки в границах: </w:t>
      </w:r>
      <w:r>
        <w:rPr>
          <w:rFonts w:ascii="Times New Roman" w:hAnsi="Times New Roman"/>
          <w:lang w:val="ru-RU"/>
        </w:rPr>
        <w:t xml:space="preserve">Комсомольского пр. – </w:t>
      </w:r>
      <w:r>
        <w:rPr>
          <w:rFonts w:ascii="Times New Roman" w:hAnsi="Times New Roman"/>
          <w:lang w:val="ru-RU"/>
        </w:rPr>
        <w:t xml:space="preserve">                       </w:t>
      </w:r>
      <w:r>
        <w:rPr>
          <w:rFonts w:ascii="Times New Roman" w:hAnsi="Times New Roman"/>
          <w:lang w:val="ru-RU"/>
        </w:rPr>
        <w:t xml:space="preserve">ул. Краснознаменной – ул. Островского – ул. Цинковой</w:t>
      </w:r>
      <w:r>
        <w:rPr>
          <w:rFonts w:ascii="Times New Roman" w:hAnsi="Times New Roman"/>
          <w:lang w:val="ru-RU"/>
        </w:rPr>
        <w:t xml:space="preserve">;</w:t>
      </w:r>
      <w:r>
        <w:rPr>
          <w:rFonts w:ascii="Times New Roman" w:hAnsi="Times New Roman"/>
          <w:lang w:val="ru-RU"/>
        </w:rPr>
        <w:t xml:space="preserve"> Свердловского пр. – ул. Островского – пер. Островского – ул. </w:t>
      </w:r>
      <w:r>
        <w:rPr>
          <w:rFonts w:ascii="Times New Roman" w:hAnsi="Times New Roman"/>
          <w:lang w:val="ru-RU"/>
        </w:rPr>
        <w:t xml:space="preserve">Каслинской</w:t>
      </w:r>
      <w:r>
        <w:rPr>
          <w:rFonts w:ascii="Times New Roman" w:hAnsi="Times New Roman"/>
          <w:lang w:val="ru-RU"/>
        </w:rPr>
        <w:t xml:space="preserve">;</w:t>
      </w:r>
      <w:r>
        <w:rPr>
          <w:rFonts w:ascii="Times New Roman" w:hAnsi="Times New Roman"/>
          <w:lang w:val="ru-RU"/>
        </w:rPr>
        <w:t xml:space="preserve"> пересечени</w:t>
      </w:r>
      <w:r>
        <w:rPr>
          <w:rFonts w:ascii="Times New Roman" w:hAnsi="Times New Roman"/>
          <w:lang w:val="ru-RU"/>
        </w:rPr>
        <w:t xml:space="preserve">я</w:t>
      </w:r>
      <w:r>
        <w:rPr>
          <w:rFonts w:ascii="Times New Roman" w:hAnsi="Times New Roman"/>
          <w:lang w:val="ru-RU"/>
        </w:rPr>
        <w:t xml:space="preserve"> Свердловского пр. и Комсомольского пр. </w:t>
      </w:r>
      <w:r>
        <w:rPr>
          <w:rFonts w:ascii="Times New Roman" w:hAnsi="Times New Roman"/>
          <w:lang w:val="ru-RU"/>
        </w:rPr>
        <w:t xml:space="preserve">                </w:t>
      </w:r>
      <w:r>
        <w:rPr>
          <w:rFonts w:ascii="Times New Roman" w:hAnsi="Times New Roman"/>
          <w:lang w:val="ru-RU"/>
        </w:rPr>
        <w:t xml:space="preserve">в Курчатовском районе города Челябинска</w:t>
      </w:r>
      <w:r>
        <w:rPr>
          <w:rFonts w:ascii="Times New Roman" w:hAnsi="Times New Roman"/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</w:t>
      </w:r>
      <w:r>
        <w:rPr>
          <w:rFonts w:ascii="Times New Roman" w:hAnsi="Times New Roman" w:cs="Times New Roman"/>
          <w:lang w:val="ru-RU"/>
        </w:rPr>
        <w:t xml:space="preserve">й</w:t>
      </w:r>
      <w:r>
        <w:rPr>
          <w:rFonts w:ascii="Times New Roman" w:hAnsi="Times New Roman" w:cs="Times New Roman"/>
          <w:lang w:val="ru-RU"/>
        </w:rPr>
        <w:t xml:space="preserve">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>
        <w:rPr>
          <w:rFonts w:ascii="Times New Roman" w:hAnsi="Times New Roman" w:cs="Times New Roman"/>
          <w:lang w:val="ru-RU"/>
        </w:rPr>
        <w:t xml:space="preserve">для населения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>
        <w:rPr>
          <w:rFonts w:ascii="Times New Roman" w:hAnsi="Times New Roman" w:cs="Times New Roman"/>
          <w:lang w:val="ru-RU"/>
        </w:rPr>
        <w:t xml:space="preserve"> (далее – КРТ)</w:t>
      </w:r>
      <w:r>
        <w:rPr>
          <w:rFonts w:ascii="Times New Roman" w:hAnsi="Times New Roman" w:cs="Times New Roman"/>
          <w:lang w:val="ru-RU"/>
        </w:rPr>
        <w:t xml:space="preserve">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п</w:t>
      </w:r>
      <w:r>
        <w:rPr>
          <w:rFonts w:ascii="Times New Roman" w:hAnsi="Times New Roman" w:cs="Times New Roman"/>
          <w:lang w:val="ru-RU"/>
        </w:rPr>
        <w:t xml:space="preserve">ри размещении отдельно стоящих детских дошкольных учреждений и детских образовательных учреждений площадь земельных </w:t>
      </w:r>
      <w:r>
        <w:rPr>
          <w:rFonts w:ascii="Times New Roman" w:hAnsi="Times New Roman" w:cs="Times New Roman"/>
          <w:lang w:val="ru-RU"/>
        </w:rPr>
        <w:t xml:space="preserve">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20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дошкольных учреждений;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40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образовательных учреждений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ткрытые плоскостные автостоянки не могут занимать более 30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от площади территориальной зоны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беспеченность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принимается за 360 </w:t>
      </w:r>
      <w:r>
        <w:rPr>
          <w:rFonts w:ascii="Times New Roman" w:hAnsi="Times New Roman" w:cs="Times New Roman"/>
          <w:lang w:val="ru-RU"/>
        </w:rPr>
        <w:t xml:space="preserve">м</w:t>
      </w:r>
      <w:r>
        <w:rPr>
          <w:rFonts w:ascii="Times New Roman" w:hAnsi="Times New Roman" w:cs="Times New Roman"/>
          <w:lang w:val="ru-RU"/>
        </w:rPr>
        <w:t xml:space="preserve">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 / 1000 человек. </w:t>
      </w:r>
      <w:r>
        <w:rPr>
          <w:rFonts w:ascii="Times New Roman" w:hAnsi="Times New Roman" w:cs="Times New Roman"/>
          <w:lang w:val="ru-RU"/>
        </w:rPr>
        <w:t xml:space="preserve">Возможно сокращение данного показателя до 300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/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1000 человек при </w:t>
      </w:r>
      <w:bookmarkStart w:id="0" w:name="_GoBack"/>
      <w:r/>
      <w:bookmarkEnd w:id="0"/>
      <w:r>
        <w:rPr>
          <w:rFonts w:ascii="Times New Roman" w:hAnsi="Times New Roman" w:cs="Times New Roman"/>
          <w:lang w:val="ru-RU"/>
        </w:rPr>
        <w:t xml:space="preserve">наличии остановочных пунктов скоростного или выделенного маршрутного транспорта в радиусе                 10-минутной пешеходной доступности от территории, подлежащей комплексному развитию;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в</w:t>
      </w:r>
      <w:r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70 %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размещать на территориях общего пользования уличной-дорожной сети                     не более 10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условии отсутствия жилых помещений на первых этажах зданий, расположенных вдоль красных линий, территорий общего пользования.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для жилья и коммерции, расположенных в одном объекте капитального строительства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бъекты социальной и коммунальной инфраструктур:</w:t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Ind w:w="-7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показателя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измерения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Минимально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допустимый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Максимально допустимый уровень территориальной доступности, м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общеобразовательные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145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800 или 15-ти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амбулаторно-поликлиническая сеть, диспансеры без стационара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посещение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смену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менее</w:t>
            </w:r>
            <w:r>
              <w:rPr>
                <w:rFonts w:ascii="Times New Roman" w:hAnsi="Times New Roman" w:cs="Times New Roman"/>
              </w:rPr>
              <w:t xml:space="preserve"> 18,15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1000 или 15-ти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птеки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учреждение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 xml:space="preserve">тыс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торговли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площади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552-580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питания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посадочное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населения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рабочее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связи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 9 – 25 тыс. 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(по категориям)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</w:tbl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проектированию города Челябинска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          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Н. В. </w:t>
      </w:r>
      <w:r>
        <w:rPr>
          <w:rFonts w:ascii="Times New Roman" w:hAnsi="Times New Roman" w:cs="Times New Roman"/>
          <w:spacing w:val="-6"/>
          <w:lang w:val="ru-RU"/>
        </w:rPr>
        <w:t xml:space="preserve">Чернушкина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26" w:right="567" w:bottom="720" w:left="1701" w:header="426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</w:r>
    <w:r>
      <w:rPr>
        <w:rFonts w:ascii="Times New Roman" w:hAnsi="Times New Roman" w:cs="Times New Roman"/>
        <w:lang w:val="ru-RU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91"/>
    <w:uiPriority w:val="99"/>
  </w:style>
  <w:style w:type="character" w:styleId="45">
    <w:name w:val="Footer Char"/>
    <w:basedOn w:val="664"/>
    <w:link w:val="693"/>
    <w:uiPriority w:val="99"/>
  </w:style>
  <w:style w:type="character" w:styleId="47">
    <w:name w:val="Caption Char"/>
    <w:basedOn w:val="683"/>
    <w:link w:val="693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>
    <w:name w:val="Strong"/>
    <w:qFormat/>
    <w:rPr>
      <w:b/>
      <w:bCs/>
    </w:rPr>
  </w:style>
  <w:style w:type="character" w:styleId="668" w:customStyle="1">
    <w:name w:val="WW_CharLFO1LVL1"/>
    <w:qFormat/>
    <w:rPr>
      <w:rFonts w:ascii="Symbol" w:hAnsi="Symbol" w:eastAsia="SimSun" w:cs="Times New Roman"/>
    </w:rPr>
  </w:style>
  <w:style w:type="character" w:styleId="669" w:customStyle="1">
    <w:name w:val="WW_CharLFO1LVL2"/>
    <w:qFormat/>
    <w:rPr>
      <w:rFonts w:ascii="Courier New" w:hAnsi="Courier New" w:cs="Courier New"/>
    </w:rPr>
  </w:style>
  <w:style w:type="character" w:styleId="670" w:customStyle="1">
    <w:name w:val="WW_CharLFO1LVL3"/>
    <w:qFormat/>
    <w:rPr>
      <w:rFonts w:ascii="Wingdings" w:hAnsi="Wingdings"/>
    </w:rPr>
  </w:style>
  <w:style w:type="character" w:styleId="671" w:customStyle="1">
    <w:name w:val="WW_CharLFO1LVL4"/>
    <w:qFormat/>
    <w:rPr>
      <w:rFonts w:ascii="Symbol" w:hAnsi="Symbol"/>
    </w:rPr>
  </w:style>
  <w:style w:type="character" w:styleId="672" w:customStyle="1">
    <w:name w:val="WW_CharLFO1LVL5"/>
    <w:qFormat/>
    <w:rPr>
      <w:rFonts w:ascii="Courier New" w:hAnsi="Courier New" w:cs="Courier New"/>
    </w:rPr>
  </w:style>
  <w:style w:type="character" w:styleId="673" w:customStyle="1">
    <w:name w:val="WW_CharLFO1LVL6"/>
    <w:qFormat/>
    <w:rPr>
      <w:rFonts w:ascii="Wingdings" w:hAnsi="Wingdings"/>
    </w:rPr>
  </w:style>
  <w:style w:type="character" w:styleId="674" w:customStyle="1">
    <w:name w:val="WW_CharLFO1LVL7"/>
    <w:qFormat/>
    <w:rPr>
      <w:rFonts w:ascii="Symbol" w:hAnsi="Symbol"/>
    </w:rPr>
  </w:style>
  <w:style w:type="character" w:styleId="675" w:customStyle="1">
    <w:name w:val="WW_CharLFO1LVL8"/>
    <w:qFormat/>
    <w:rPr>
      <w:rFonts w:ascii="Courier New" w:hAnsi="Courier New" w:cs="Courier New"/>
    </w:rPr>
  </w:style>
  <w:style w:type="character" w:styleId="676" w:customStyle="1">
    <w:name w:val="WW_CharLFO1LVL9"/>
    <w:qFormat/>
    <w:rPr>
      <w:rFonts w:ascii="Wingdings" w:hAnsi="Wingdings"/>
    </w:rPr>
  </w:style>
  <w:style w:type="character" w:styleId="677" w:customStyle="1">
    <w:name w:val="Текст выноски Знак"/>
    <w:basedOn w:val="664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678" w:customStyle="1">
    <w:name w:val="Заголовок1"/>
    <w:basedOn w:val="663"/>
    <w:next w:val="679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79">
    <w:name w:val="Body Text"/>
    <w:basedOn w:val="663"/>
    <w:pPr>
      <w:spacing w:after="140" w:line="288" w:lineRule="auto"/>
    </w:pPr>
  </w:style>
  <w:style w:type="paragraph" w:styleId="680">
    <w:name w:val="List"/>
    <w:basedOn w:val="679"/>
  </w:style>
  <w:style w:type="paragraph" w:styleId="681" w:customStyle="1">
    <w:name w:val="Название объекта1"/>
    <w:basedOn w:val="663"/>
    <w:qFormat/>
    <w:pPr>
      <w:spacing w:before="120" w:after="120"/>
      <w:suppressLineNumbers/>
    </w:pPr>
    <w:rPr>
      <w:rFonts w:cs="Arial"/>
      <w:i/>
      <w:iCs/>
    </w:rPr>
  </w:style>
  <w:style w:type="paragraph" w:styleId="682">
    <w:name w:val="index heading"/>
    <w:basedOn w:val="663"/>
    <w:qFormat/>
    <w:pPr>
      <w:suppressLineNumbers/>
    </w:pPr>
    <w:rPr>
      <w:rFonts w:cs="Arial"/>
    </w:rPr>
  </w:style>
  <w:style w:type="paragraph" w:styleId="683">
    <w:name w:val="Caption"/>
    <w:basedOn w:val="663"/>
    <w:qFormat/>
    <w:pPr>
      <w:spacing w:before="120" w:after="120"/>
      <w:suppressLineNumbers/>
    </w:pPr>
    <w:rPr>
      <w:i/>
      <w:iCs/>
    </w:rPr>
  </w:style>
  <w:style w:type="paragraph" w:styleId="684" w:customStyle="1">
    <w:name w:val="Указатель1"/>
    <w:basedOn w:val="663"/>
    <w:qFormat/>
    <w:pPr>
      <w:suppressLineNumbers/>
    </w:pPr>
  </w:style>
  <w:style w:type="paragraph" w:styleId="685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686" w:customStyle="1">
    <w:name w:val="Содержимое таблицы"/>
    <w:basedOn w:val="663"/>
    <w:qFormat/>
    <w:pPr>
      <w:widowControl w:val="off"/>
      <w:suppressLineNumbers/>
    </w:pPr>
  </w:style>
  <w:style w:type="paragraph" w:styleId="687" w:customStyle="1">
    <w:name w:val="Заголовок таблицы"/>
    <w:basedOn w:val="686"/>
    <w:qFormat/>
    <w:pPr>
      <w:jc w:val="center"/>
    </w:pPr>
    <w:rPr>
      <w:b/>
      <w:bCs/>
    </w:rPr>
  </w:style>
  <w:style w:type="paragraph" w:styleId="688" w:customStyle="1">
    <w:name w:val="Верхний и нижний колонтитулы"/>
    <w:basedOn w:val="663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689" w:customStyle="1">
    <w:name w:val="Верхний колонтитул1"/>
    <w:basedOn w:val="663"/>
    <w:pPr>
      <w:tabs>
        <w:tab w:val="center" w:pos="4819" w:leader="none"/>
        <w:tab w:val="right" w:pos="9638" w:leader="none"/>
      </w:tabs>
      <w:suppressLineNumbers/>
    </w:pPr>
  </w:style>
  <w:style w:type="paragraph" w:styleId="690">
    <w:name w:val="Balloon Text"/>
    <w:basedOn w:val="663"/>
    <w:uiPriority w:val="99"/>
    <w:semiHidden/>
    <w:unhideWhenUsed/>
    <w:qFormat/>
    <w:rPr>
      <w:rFonts w:ascii="Tahoma" w:hAnsi="Tahoma"/>
      <w:sz w:val="16"/>
      <w:szCs w:val="14"/>
    </w:rPr>
  </w:style>
  <w:style w:type="paragraph" w:styleId="691">
    <w:name w:val="Header"/>
    <w:basedOn w:val="663"/>
    <w:link w:val="692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692" w:customStyle="1">
    <w:name w:val="Верхний колонтитул Знак"/>
    <w:basedOn w:val="664"/>
    <w:link w:val="691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693">
    <w:name w:val="Footer"/>
    <w:basedOn w:val="663"/>
    <w:link w:val="694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694" w:customStyle="1">
    <w:name w:val="Нижний колонтитул Знак"/>
    <w:basedOn w:val="664"/>
    <w:link w:val="693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5</cp:revision>
  <dcterms:created xsi:type="dcterms:W3CDTF">2025-09-09T04:15:00Z</dcterms:created>
  <dcterms:modified xsi:type="dcterms:W3CDTF">2025-09-22T11:57:29Z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