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center"/>
        <w:rPr/>
      </w:pPr>
      <w:r>
        <w:rPr>
          <w:sz w:val="20"/>
        </w:rPr>
        <w:t xml:space="preserve">                                              </w:t>
      </w:r>
      <w:r>
        <w:rPr/>
        <w:t>Приложение 2</w:t>
      </w:r>
    </w:p>
    <w:p>
      <w:pPr>
        <w:pStyle w:val="Normal"/>
        <w:ind w:left="0" w:right="0" w:hanging="0"/>
        <w:jc w:val="center"/>
        <w:rPr/>
      </w:pPr>
      <w:r>
        <w:rPr/>
      </w:r>
    </w:p>
    <w:tbl>
      <w:tblPr>
        <w:tblW w:w="4424" w:type="dxa"/>
        <w:jc w:val="left"/>
        <w:tblInd w:w="5214" w:type="dxa"/>
        <w:tblBorders/>
        <w:tblCellMar>
          <w:top w:w="0" w:type="dxa"/>
          <w:left w:w="28" w:type="dxa"/>
          <w:bottom w:w="0" w:type="dxa"/>
          <w:right w:w="28" w:type="dxa"/>
        </w:tblCellMar>
      </w:tblPr>
      <w:tblGrid>
        <w:gridCol w:w="4424"/>
      </w:tblGrid>
      <w:tr>
        <w:trPr>
          <w:trHeight w:val="1365" w:hRule="atLeast"/>
        </w:trPr>
        <w:tc>
          <w:tcPr>
            <w:tcW w:w="4424" w:type="dxa"/>
            <w:tcBorders/>
            <w:shd w:fill="FFFFFF" w:val="clear"/>
            <w:vAlign w:val="bottom"/>
          </w:tcPr>
          <w:p>
            <w:pPr>
              <w:pStyle w:val="Normal"/>
              <w:ind w:left="0" w:right="0" w:hanging="0"/>
              <w:rPr/>
            </w:pPr>
            <w:r>
              <w:rPr>
                <w:rFonts w:eastAsia="Times New Roman"/>
                <w:sz w:val="24"/>
                <w:szCs w:val="24"/>
              </w:rPr>
              <w:t>к а</w:t>
            </w:r>
            <w:r>
              <w:rPr>
                <w:rFonts w:eastAsia="Times New Roman"/>
                <w:color w:val="000000"/>
                <w:sz w:val="24"/>
                <w:szCs w:val="24"/>
                <w:shd w:fill="FFFFFF" w:val="clear"/>
              </w:rPr>
              <w:t>дминистративному регламенту предоставления муниципальной услуги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hi-IN" w:bidi="hi-IN"/>
              </w:rPr>
              <w:t>Перевод жилого помещения в нежилое помещение и нежилого помещения в жилое помещение</w:t>
            </w:r>
            <w:r>
              <w:rPr>
                <w:sz w:val="24"/>
                <w:szCs w:val="24"/>
              </w:rPr>
              <w:t>»</w:t>
            </w:r>
          </w:p>
        </w:tc>
      </w:tr>
    </w:tbl>
    <w:p>
      <w:pPr>
        <w:pStyle w:val="Normal"/>
        <w:spacing w:before="0" w:after="24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b w:val="false"/>
        </w:rPr>
        <w:t xml:space="preserve">Расписка о приеме документов </w:t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b w:val="false"/>
        </w:rPr>
        <w:t>для предоставления муниципальной услуги</w:t>
      </w:r>
    </w:p>
    <w:p>
      <w:pPr>
        <w:pStyle w:val="Normal"/>
        <w:spacing w:before="0" w:after="0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Style26"/>
        <w:widowControl w:val="false"/>
        <w:snapToGrid w:val="false"/>
        <w:spacing w:before="0" w:after="0"/>
        <w:ind w:left="0" w:right="0" w:hanging="0"/>
        <w:jc w:val="left"/>
        <w:rPr/>
      </w:pPr>
      <w:r>
        <w:rPr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hi-IN" w:bidi="hi-IN"/>
        </w:rPr>
        <w:tab/>
        <w:t>Настоящим     подтверждается,      что     Заявителем     (представителем      Заявителя</w:t>
      </w:r>
      <w:r>
        <w:rPr>
          <w:rFonts w:eastAsia="Times New Roman" w:cs="Liberation Serif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highlight w:val="white"/>
          <w:lang w:val="ru-RU" w:eastAsia="hi-IN" w:bidi="hi-IN"/>
        </w:rPr>
        <w:t>)</w:t>
      </w:r>
    </w:p>
    <w:p>
      <w:pPr>
        <w:pStyle w:val="Style26"/>
        <w:widowControl w:val="false"/>
        <w:snapToGrid w:val="false"/>
        <w:spacing w:before="0" w:after="0"/>
        <w:ind w:left="0" w:right="0" w:hanging="0"/>
        <w:jc w:val="left"/>
        <w:rPr>
          <w:sz w:val="26"/>
          <w:szCs w:val="26"/>
        </w:rPr>
      </w:pPr>
      <w:r>
        <w:rPr>
          <w:rFonts w:eastAsia="Times New Roman" w:cs="Liberation Serif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lang w:val="ru-RU" w:eastAsia="hi-IN" w:bidi="hi-IN"/>
        </w:rPr>
        <w:t xml:space="preserve"> </w:t>
      </w:r>
      <w:r>
        <w:rPr>
          <w:rFonts w:eastAsia="Times New Roman" w:cs="Liberation Serif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single"/>
          <w:lang w:val="ru-RU" w:eastAsia="hi-IN" w:bidi="hi-IN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pStyle w:val="Style26"/>
        <w:widowControl w:val="false"/>
        <w:snapToGrid w:val="false"/>
        <w:spacing w:before="0" w:after="0"/>
        <w:ind w:left="0" w:right="0" w:hanging="0"/>
        <w:jc w:val="left"/>
        <w:rPr/>
      </w:pPr>
      <w:r>
        <w:rPr>
          <w:rFonts w:eastAsia="Times New Roman" w:cs="Liberation Serif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val="ru-RU" w:eastAsia="hi-IN" w:bidi="hi-IN"/>
        </w:rPr>
        <w:t xml:space="preserve">                                         </w:t>
      </w:r>
      <w:r>
        <w:rPr>
          <w:rFonts w:eastAsia="Times New Roman" w:cs="Liberation Serif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val="ru-RU" w:eastAsia="hi-IN" w:bidi="hi-IN"/>
        </w:rPr>
        <w:t>(фамилия, инициалы заявителя (представителя))</w:t>
      </w:r>
    </w:p>
    <w:p>
      <w:pPr>
        <w:pStyle w:val="Style26"/>
        <w:widowControl w:val="false"/>
        <w:snapToGrid w:val="false"/>
        <w:jc w:val="left"/>
        <w:rPr/>
      </w:pPr>
      <w:r>
        <w:rPr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hi-IN" w:bidi="hi-IN"/>
        </w:rPr>
        <w:t>«</w:t>
      </w:r>
      <w:r>
        <w:rPr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u w:val="single"/>
          <w:shd w:fill="FFFFFF" w:val="clear"/>
          <w:lang w:val="ru-RU" w:eastAsia="hi-IN" w:bidi="hi-IN"/>
        </w:rPr>
        <w:t xml:space="preserve">    </w:t>
      </w:r>
      <w:r>
        <w:rPr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hi-IN" w:bidi="hi-IN"/>
        </w:rPr>
        <w:t xml:space="preserve">»  </w:t>
      </w:r>
      <w:r>
        <w:rPr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u w:val="single"/>
          <w:shd w:fill="FFFFFF" w:val="clear"/>
          <w:lang w:val="ru-RU" w:eastAsia="hi-IN" w:bidi="hi-IN"/>
        </w:rPr>
        <w:t xml:space="preserve">                   </w:t>
      </w:r>
      <w:r>
        <w:rPr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hi-IN" w:bidi="hi-IN"/>
        </w:rPr>
        <w:t xml:space="preserve"> 20___ г. в </w:t>
      </w:r>
      <w:r>
        <w:rPr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u w:val="single"/>
          <w:shd w:fill="FFFFFF" w:val="clear"/>
          <w:lang w:val="ru-RU" w:eastAsia="hi-IN" w:bidi="hi-IN"/>
        </w:rPr>
        <w:t xml:space="preserve">                                                                                                                </w:t>
      </w:r>
      <w:r>
        <w:rPr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hi-IN" w:bidi="hi-IN"/>
        </w:rPr>
        <w:t xml:space="preserve"> </w:t>
      </w:r>
    </w:p>
    <w:p>
      <w:pPr>
        <w:pStyle w:val="Style26"/>
        <w:widowControl w:val="false"/>
        <w:snapToGrid w:val="false"/>
        <w:jc w:val="left"/>
        <w:rPr>
          <w:rFonts w:ascii="Times New Roman" w:hAnsi="Times New Roman" w:eastAsia="Times New Roman" w:cs="Liberation Serif"/>
          <w:b w:val="false"/>
          <w:b w:val="false"/>
          <w:bCs w:val="false"/>
          <w:caps w:val="false"/>
          <w:smallCaps w:val="false"/>
          <w:color w:val="000000"/>
          <w:spacing w:val="0"/>
          <w:kern w:val="2"/>
          <w:sz w:val="24"/>
          <w:szCs w:val="24"/>
          <w:highlight w:val="white"/>
          <w:lang w:val="ru-RU" w:eastAsia="hi-IN" w:bidi="hi-IN"/>
        </w:rPr>
      </w:pPr>
      <w:r>
        <w:rPr>
          <w:rFonts w:eastAsia="Times New Roman" w:cs="Liberation Serif" w:ascii="Times New Roman" w:hAnsi="Times New Roman"/>
          <w:b w:val="false"/>
          <w:bCs w:val="false"/>
          <w:caps w:val="false"/>
          <w:smallCaps w:val="false"/>
          <w:color w:val="000000"/>
          <w:spacing w:val="0"/>
          <w:kern w:val="2"/>
          <w:sz w:val="24"/>
          <w:szCs w:val="24"/>
          <w:highlight w:val="white"/>
          <w:lang w:val="ru-RU" w:eastAsia="hi-IN" w:bidi="hi-IN"/>
        </w:rPr>
        <w:t xml:space="preserve">                               </w:t>
      </w:r>
      <w:r>
        <w:rPr>
          <w:rFonts w:eastAsia="Times New Roman" w:cs="Liberation Serif" w:ascii="Times New Roman" w:hAnsi="Times New Roman"/>
          <w:b w:val="false"/>
          <w:bCs w:val="false"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val="ru-RU" w:eastAsia="hi-IN" w:bidi="hi-IN"/>
        </w:rPr>
        <w:t xml:space="preserve">                                   </w:t>
      </w:r>
      <w:r>
        <w:rPr>
          <w:rFonts w:eastAsia="Times New Roman" w:cs="Liberation Serif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val="ru-RU" w:eastAsia="hi-IN" w:bidi="hi-IN"/>
        </w:rPr>
        <w:t xml:space="preserve"> </w:t>
      </w:r>
      <w:r>
        <w:rPr>
          <w:rFonts w:eastAsia="Times New Roman" w:cs="Liberation Serif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val="ru-RU" w:eastAsia="hi-IN" w:bidi="hi-IN"/>
        </w:rPr>
        <w:t>(наименование уполномоченного органа)</w:t>
      </w:r>
    </w:p>
    <w:p>
      <w:pPr>
        <w:pStyle w:val="Style26"/>
        <w:widowControl w:val="false"/>
        <w:snapToGrid w:val="false"/>
        <w:spacing w:before="0" w:after="283"/>
        <w:jc w:val="left"/>
        <w:rPr/>
      </w:pPr>
      <w:r>
        <w:rPr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hi-IN" w:bidi="hi-IN"/>
        </w:rPr>
        <w:t>представлены следующие документы для предоставления муниципальной услуги «Перевод жилого помещения в нежилое помещение и нежилого помещения в жилое помещение»</w:t>
      </w:r>
    </w:p>
    <w:p>
      <w:pPr>
        <w:pStyle w:val="Normal"/>
        <w:widowControl w:val="false"/>
        <w:rPr/>
      </w:pPr>
      <w:r>
        <w:rPr>
          <w:rFonts w:eastAsia="Times New Roman" w:cs="Liberation Serif"/>
          <w:b w:val="false"/>
          <w:bCs w:val="false"/>
          <w:color w:val="000000"/>
          <w:kern w:val="2"/>
          <w:sz w:val="24"/>
          <w:szCs w:val="24"/>
          <w:highlight w:val="white"/>
          <w:lang w:val="ru-RU" w:eastAsia="hi-IN" w:bidi="hi-IN"/>
        </w:rPr>
        <w:tab/>
        <w:t>Перечень предоставляемых Заявителем документов:</w:t>
      </w:r>
    </w:p>
    <w:tbl>
      <w:tblPr>
        <w:tblW w:w="9692" w:type="dxa"/>
        <w:jc w:val="lef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2"/>
        <w:gridCol w:w="6063"/>
        <w:gridCol w:w="2837"/>
      </w:tblGrid>
      <w:tr>
        <w:trPr>
          <w:trHeight w:val="675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 xml:space="preserve">№ 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п/п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Наименование документов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>Представлено (+/-)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1.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0" w:hanging="0"/>
              <w:jc w:val="left"/>
              <w:rPr/>
            </w:pP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Заявление о переводе помещения в Администрацию города Челябинска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2.</w:t>
            </w:r>
          </w:p>
        </w:tc>
        <w:tc>
          <w:tcPr>
            <w:tcW w:w="8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0" w:hanging="0"/>
              <w:jc w:val="both"/>
              <w:rPr/>
            </w:pP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u w:val="none"/>
                <w:shd w:fill="FFFFFF" w:val="clear"/>
                <w:lang w:val="ru-RU" w:eastAsia="hi-IN" w:bidi="hi-IN"/>
              </w:rPr>
              <w:t>Правоустанавливающие документы на переводимое помещение</w:t>
            </w: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 xml:space="preserve"> </w:t>
            </w: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shd w:fill="FFFFFF" w:val="clear"/>
                <w:lang w:val="ru-RU" w:eastAsia="hi-IN" w:bidi="hi-IN"/>
              </w:rPr>
              <w:t xml:space="preserve">(подлинники или засвидетельствованные в нотариальном порядке копии), если право на переводимое помещение: 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2.1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>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0" w:hanging="0"/>
              <w:jc w:val="both"/>
              <w:rPr/>
            </w:pP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Не зарегистрировано в Едином государственном реестре недвижимости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  <w:tr>
        <w:trPr>
          <w:trHeight w:val="707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2.2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Зарегистрировано в Едином государственном реестре недвижимости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3.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  <w:tr>
        <w:trPr>
          <w:trHeight w:val="369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4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>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Протокол общего собрания собственников помещений                   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  <w:tr>
        <w:trPr>
          <w:trHeight w:val="747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5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>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Согласие каждого собственника всех помещений, примыкающих к переводимому помещению, на перевод жилого помещения                  в нежилое помещение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  <w:tr>
        <w:trPr>
          <w:trHeight w:val="637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6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>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План переводимого помещения с его техническим описанием              (в случае если переводимое помещение является жилым – технический паспорт такого помещения)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  <w:tr>
        <w:trPr>
          <w:trHeight w:val="637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-Roman;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kern w:val="2"/>
                <w:sz w:val="26"/>
                <w:szCs w:val="26"/>
                <w:u w:val="none"/>
                <w:lang w:val="ru-RU" w:eastAsia="zxx" w:bidi="ar-SA"/>
              </w:rPr>
            </w:pPr>
            <w:r>
              <w:rPr>
                <w:rFonts w:eastAsia="Times New Roman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Поэтажный план дома, в котором находится переводимое помещение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</w:tbl>
    <w:p>
      <w:pPr>
        <w:pStyle w:val="Normal"/>
        <w:widowControl w:val="false"/>
        <w:rPr>
          <w:rFonts w:ascii="Times New Roman" w:hAnsi="Times New Roman" w:eastAsia="Times New Roman" w:cs="Liberation Serif"/>
          <w:b w:val="false"/>
          <w:b w:val="false"/>
          <w:bCs w:val="false"/>
          <w:color w:val="000000"/>
          <w:kern w:val="2"/>
          <w:sz w:val="28"/>
          <w:szCs w:val="28"/>
          <w:highlight w:val="white"/>
          <w:lang w:val="ru-RU" w:eastAsia="hi-IN" w:bidi="hi-IN"/>
        </w:rPr>
      </w:pPr>
      <w:r>
        <w:rPr>
          <w:rFonts w:eastAsia="Times New Roman" w:cs="Liberation Serif"/>
          <w:b w:val="false"/>
          <w:bCs w:val="false"/>
          <w:color w:val="000000"/>
          <w:kern w:val="2"/>
          <w:sz w:val="28"/>
          <w:szCs w:val="28"/>
          <w:highlight w:val="white"/>
          <w:lang w:val="ru-RU" w:eastAsia="hi-IN" w:bidi="hi-IN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2"/>
        <w:rPr/>
      </w:pPr>
      <w:bookmarkStart w:id="0" w:name="Par800"/>
      <w:bookmarkEnd w:id="0"/>
      <w:r>
        <w:rPr>
          <w:rFonts w:eastAsia="Times New Roman" w:cs="Liberation Serif"/>
          <w:b w:val="false"/>
          <w:bCs w:val="false"/>
          <w:color w:val="000000"/>
          <w:kern w:val="2"/>
          <w:sz w:val="24"/>
          <w:szCs w:val="24"/>
          <w:highlight w:val="white"/>
          <w:lang w:val="ru-RU" w:eastAsia="hi-IN" w:bidi="hi-IN"/>
        </w:rPr>
        <w:tab/>
        <w:t>Перечень сведений и документов, которые будут получены УАГП г. Челябинска                     в рамках межведомственной информационного взаимодействия (заполняется в случае непредставления заявителем документов, которые он вправе представить по собственной инициативе):</w:t>
      </w:r>
    </w:p>
    <w:tbl>
      <w:tblPr>
        <w:tblW w:w="9645" w:type="dxa"/>
        <w:jc w:val="lef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5894"/>
        <w:gridCol w:w="2792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 xml:space="preserve">№ 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>п/п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Наименование сведений и документов, которые будут получены по межведомственным запросам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 xml:space="preserve"> 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 xml:space="preserve">Необходимость получения сведений (документов)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(+/-)</w:t>
            </w:r>
          </w:p>
        </w:tc>
      </w:tr>
      <w:tr>
        <w:trPr>
          <w:trHeight w:val="112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1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>.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Правоустанавливающие документы на переводимое помещение (подлинники или засвидетельствованные                           в нотариальном порядке копии), если право на переводимое помещение зарегистрировано в Едином государственном реестре недвижимости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2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>.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 xml:space="preserve">План переводимого помещения с его техническим описанием (в случае если переводимое помещение является жилым </w:t>
            </w:r>
            <w:r>
              <w:rPr>
                <w:rFonts w:eastAsia="Times New Roman" w:cs="TimesNew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–</w:t>
            </w:r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 xml:space="preserve"> технический паспорт такого помещения)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shd w:fill="FFFFFF" w:val="clear"/>
                <w:lang w:val="ru-RU" w:eastAsia="hi-IN" w:bidi="hi-IN"/>
              </w:rPr>
              <w:t>3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  <w:t>.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</w:pPr>
            <w:bookmarkStart w:id="1" w:name="__DdeLink__11672_410330489"/>
            <w:r>
              <w:rPr>
                <w:rFonts w:eastAsia="Times New Roman" w:cs="Liberation Serif"/>
                <w:b w:val="false"/>
                <w:bCs w:val="false"/>
                <w:i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hi-IN" w:bidi="hi-IN"/>
              </w:rPr>
              <w:t>Поэтажный план дома, в котором находится переводимое помещение</w:t>
            </w:r>
            <w:bookmarkEnd w:id="1"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"/>
                <w:b w:val="false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pP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2"/>
                <w:szCs w:val="22"/>
                <w:highlight w:val="white"/>
                <w:lang w:val="ru-RU" w:eastAsia="hi-IN" w:bidi="hi-IN"/>
              </w:rPr>
            </w:r>
          </w:p>
        </w:tc>
      </w:tr>
    </w:tbl>
    <w:p>
      <w:pPr>
        <w:pStyle w:val="Normal"/>
        <w:widowControl w:val="false"/>
        <w:ind w:left="0" w:hanging="0"/>
        <w:jc w:val="center"/>
        <w:rPr>
          <w:i w:val="false"/>
          <w:i w:val="false"/>
          <w:strike w:val="false"/>
          <w:dstrike w:val="false"/>
          <w:u w:val="none"/>
        </w:rPr>
      </w:pPr>
      <w:r>
        <w:rPr>
          <w:i w:val="false"/>
          <w:strike w:val="false"/>
          <w:dstrike w:val="false"/>
          <w:u w:val="none"/>
        </w:rPr>
      </w:r>
    </w:p>
    <w:p>
      <w:pPr>
        <w:pStyle w:val="Normal"/>
        <w:widowControl w:val="false"/>
        <w:ind w:left="0" w:hanging="0"/>
        <w:jc w:val="center"/>
        <w:rPr>
          <w:i w:val="false"/>
          <w:i w:val="false"/>
          <w:strike w:val="false"/>
          <w:dstrike w:val="false"/>
          <w:u w:val="none"/>
        </w:rPr>
      </w:pPr>
      <w:r>
        <w:rPr>
          <w:i w:val="false"/>
          <w:strike w:val="false"/>
          <w:dstrike w:val="false"/>
          <w:u w:val="none"/>
        </w:rPr>
      </w:r>
    </w:p>
    <w:p>
      <w:pPr>
        <w:pStyle w:val="ConsPlusNonformat"/>
        <w:widowControl w:val="false"/>
        <w:ind w:left="0" w:hanging="0"/>
        <w:jc w:val="both"/>
        <w:rPr>
          <w:rFonts w:ascii="Times New Roman" w:hAnsi="Times New Roman" w:eastAsia="Times New Roman" w:cs="Liberation Serif"/>
          <w:b w:val="false"/>
          <w:b w:val="false"/>
          <w:bCs w:val="false"/>
          <w:color w:val="000000"/>
          <w:kern w:val="2"/>
          <w:sz w:val="24"/>
          <w:szCs w:val="24"/>
          <w:highlight w:val="white"/>
          <w:lang w:val="ru-RU" w:eastAsia="hi-IN" w:bidi="hi-I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ru-RU" w:eastAsia="hi-IN" w:bidi="hi-IN"/>
        </w:rPr>
        <w:t>Всего документов _____ , всего листов 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/>
      </w:pPr>
      <w:r>
        <w:rPr>
          <w:rFonts w:cs="Times New Roman" w:ascii="Times New Roman" w:hAnsi="Times New Roman"/>
          <w:sz w:val="24"/>
          <w:szCs w:val="24"/>
        </w:rPr>
        <w:t xml:space="preserve">Принял: ______________________________________________________            ____________  </w:t>
      </w:r>
    </w:p>
    <w:p>
      <w:pPr>
        <w:pStyle w:val="ConsPlusNonforma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ru-RU" w:eastAsia="hi-IN" w:bidi="hi-IN"/>
        </w:rPr>
        <w:t xml:space="preserve">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ru-RU" w:eastAsia="hi-IN" w:bidi="hi-IN"/>
        </w:rPr>
        <w:t xml:space="preserve">(должность, Ф.И.О.)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ru-RU" w:eastAsia="hi-IN" w:bidi="hi-IN"/>
        </w:rPr>
        <w:t xml:space="preserve">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ru-RU" w:eastAsia="hi-IN" w:bidi="hi-IN"/>
        </w:rPr>
        <w:t xml:space="preserve"> (подпись)</w:t>
      </w:r>
    </w:p>
    <w:sectPr>
      <w:headerReference w:type="default" r:id="rId2"/>
      <w:headerReference w:type="first" r:id="rId3"/>
      <w:type w:val="nextPage"/>
      <w:pgSz w:w="11849" w:h="16838"/>
      <w:pgMar w:left="1701" w:right="567" w:header="360" w:top="1110" w:footer="0" w:bottom="1058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Liberation Serif" w:cs="Liberation Serif"/>
      <w:color w:val="00000A"/>
      <w:kern w:val="2"/>
      <w:sz w:val="24"/>
      <w:szCs w:val="24"/>
      <w:lang w:val="ru-RU" w:eastAsia="hi-IN" w:bidi="hi-IN"/>
    </w:rPr>
  </w:style>
  <w:style w:type="character" w:styleId="DefaultParagraphFont">
    <w:name w:val="Default Paragraph Font"/>
    <w:qFormat/>
    <w:rPr/>
  </w:style>
  <w:style w:type="character" w:styleId="Style14">
    <w:name w:val="Символ нумерации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Цветовое выделение для Текст"/>
    <w:qFormat/>
    <w:rPr>
      <w:sz w:val="24"/>
    </w:rPr>
  </w:style>
  <w:style w:type="paragraph" w:styleId="Style17">
    <w:name w:val="Заголовок"/>
    <w:basedOn w:val="Normal"/>
    <w:next w:val="Style18"/>
    <w:qFormat/>
    <w:pPr>
      <w:keepNext w:val="true"/>
      <w:widowControl/>
      <w:suppressAutoHyphens w:val="true"/>
      <w:spacing w:before="240" w:after="120"/>
      <w:jc w:val="left"/>
      <w:textAlignment w:val="auto"/>
    </w:pPr>
    <w:rPr>
      <w:rFonts w:ascii="Liberation Sans" w:hAnsi="Liberation Sans" w:eastAsia="Liberation Serif" w:cs="Mangal"/>
      <w:color w:val="00000A"/>
      <w:sz w:val="28"/>
      <w:szCs w:val="28"/>
      <w:lang w:val="ru-RU" w:eastAsia="ar-SA"/>
    </w:rPr>
  </w:style>
  <w:style w:type="paragraph" w:styleId="Style18">
    <w:name w:val="Body Text"/>
    <w:basedOn w:val="Normal"/>
    <w:pPr>
      <w:widowControl/>
      <w:suppressAutoHyphens w:val="true"/>
      <w:spacing w:lineRule="auto" w:line="276" w:before="0" w:after="140"/>
      <w:jc w:val="left"/>
      <w:textAlignment w:val="auto"/>
    </w:pPr>
    <w:rPr>
      <w:rFonts w:ascii="Times New Roman" w:hAnsi="Times New Roman" w:eastAsia="Liberation Serif"/>
      <w:color w:val="00000A"/>
      <w:sz w:val="24"/>
      <w:lang w:val="ru-RU" w:eastAsia="ar-SA"/>
    </w:rPr>
  </w:style>
  <w:style w:type="paragraph" w:styleId="Style19">
    <w:name w:val="List"/>
    <w:basedOn w:val="Style18"/>
    <w:pPr>
      <w:widowControl/>
      <w:suppressAutoHyphens w:val="true"/>
      <w:spacing w:lineRule="auto" w:line="276" w:before="0" w:after="140"/>
      <w:jc w:val="left"/>
      <w:textAlignment w:val="auto"/>
    </w:pPr>
    <w:rPr>
      <w:rFonts w:ascii="Times New Roman" w:hAnsi="Times New Roman" w:eastAsia="Liberation Serif" w:cs="Mangal"/>
      <w:color w:val="00000A"/>
      <w:sz w:val="24"/>
      <w:lang w:val="ru-RU" w:eastAsia="ar-SA"/>
    </w:rPr>
  </w:style>
  <w:style w:type="paragraph" w:styleId="Style20">
    <w:name w:val="Caption"/>
    <w:basedOn w:val="Normal"/>
    <w:qFormat/>
    <w:pPr>
      <w:widowControl/>
      <w:suppressLineNumbers/>
      <w:suppressAutoHyphens w:val="true"/>
      <w:spacing w:before="120" w:after="120"/>
      <w:jc w:val="left"/>
      <w:textAlignment w:val="auto"/>
    </w:pPr>
    <w:rPr>
      <w:rFonts w:ascii="Times New Roman" w:hAnsi="Times New Roman" w:eastAsia="Liberation Serif" w:cs="Mangal"/>
      <w:i/>
      <w:iCs/>
      <w:color w:val="00000A"/>
      <w:sz w:val="24"/>
      <w:szCs w:val="24"/>
      <w:lang w:val="ru-RU" w:eastAsia="ar-SA"/>
    </w:rPr>
  </w:style>
  <w:style w:type="paragraph" w:styleId="Style21">
    <w:name w:val="Указатель"/>
    <w:basedOn w:val="Normal"/>
    <w:qFormat/>
    <w:pPr>
      <w:widowControl/>
      <w:suppressLineNumbers/>
      <w:suppressAutoHyphens w:val="true"/>
      <w:jc w:val="left"/>
      <w:textAlignment w:val="auto"/>
    </w:pPr>
    <w:rPr>
      <w:rFonts w:ascii="Times New Roman" w:hAnsi="Times New Roman" w:eastAsia="Liberation Serif" w:cs="Mangal"/>
      <w:color w:val="00000A"/>
      <w:sz w:val="24"/>
      <w:lang w:val="ru-RU" w:eastAsia="ar-SA"/>
    </w:rPr>
  </w:style>
  <w:style w:type="paragraph" w:styleId="DocumentMap">
    <w:name w:val="DocumentMap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Liberation Serif" w:cs="Liberation Serif"/>
      <w:color w:val="00000A"/>
      <w:kern w:val="2"/>
      <w:sz w:val="20"/>
      <w:szCs w:val="24"/>
      <w:lang w:val="ru-RU" w:eastAsia="hi-IN" w:bidi="hi-IN"/>
    </w:rPr>
  </w:style>
  <w:style w:type="paragraph" w:styleId="Style22">
    <w:name w:val="Header"/>
    <w:basedOn w:val="Normal"/>
    <w:pPr>
      <w:widowControl/>
      <w:tabs>
        <w:tab w:val="clear" w:pos="720"/>
        <w:tab w:val="center" w:pos="4677" w:leader="none"/>
        <w:tab w:val="right" w:pos="9355" w:leader="none"/>
      </w:tabs>
      <w:suppressAutoHyphens w:val="true"/>
      <w:jc w:val="left"/>
      <w:textAlignment w:val="auto"/>
    </w:pPr>
    <w:rPr>
      <w:rFonts w:ascii="Times New Roman" w:hAnsi="Times New Roman" w:eastAsia="Liberation Serif"/>
      <w:color w:val="00000A"/>
      <w:sz w:val="24"/>
      <w:lang w:val="ru-RU" w:eastAsia="ar-SA"/>
    </w:rPr>
  </w:style>
  <w:style w:type="paragraph" w:styleId="Style23">
    <w:name w:val="Footer"/>
    <w:basedOn w:val="Normal"/>
    <w:pPr>
      <w:widowControl/>
      <w:tabs>
        <w:tab w:val="clear" w:pos="720"/>
        <w:tab w:val="center" w:pos="4677" w:leader="none"/>
        <w:tab w:val="right" w:pos="9355" w:leader="none"/>
      </w:tabs>
      <w:suppressAutoHyphens w:val="true"/>
      <w:jc w:val="left"/>
      <w:textAlignment w:val="auto"/>
    </w:pPr>
    <w:rPr>
      <w:rFonts w:ascii="Times New Roman" w:hAnsi="Times New Roman" w:eastAsia="Liberation Serif"/>
      <w:color w:val="00000A"/>
      <w:sz w:val="24"/>
      <w:lang w:val="ru-RU" w:eastAsia="ar-SA"/>
    </w:rPr>
  </w:style>
  <w:style w:type="paragraph" w:styleId="BalloonText">
    <w:name w:val="Balloon Text"/>
    <w:basedOn w:val="Normal"/>
    <w:qFormat/>
    <w:pPr>
      <w:widowControl/>
      <w:suppressAutoHyphens w:val="true"/>
      <w:jc w:val="left"/>
      <w:textAlignment w:val="auto"/>
    </w:pPr>
    <w:rPr>
      <w:rFonts w:ascii="Tahoma" w:hAnsi="Tahoma" w:eastAsia="Liberation Serif"/>
      <w:color w:val="00000A"/>
      <w:sz w:val="16"/>
      <w:lang w:val="ru-RU" w:eastAsia="ar-SA"/>
    </w:rPr>
  </w:style>
  <w:style w:type="paragraph" w:styleId="Style24">
    <w:name w:val="Содержимое таблицы"/>
    <w:basedOn w:val="Normal"/>
    <w:qFormat/>
    <w:pPr>
      <w:widowControl/>
      <w:suppressAutoHyphens w:val="true"/>
      <w:jc w:val="left"/>
      <w:textAlignment w:val="auto"/>
    </w:pPr>
    <w:rPr>
      <w:rFonts w:ascii="Times New Roman" w:hAnsi="Times New Roman" w:eastAsia="Liberation Serif"/>
      <w:color w:val="00000A"/>
      <w:sz w:val="24"/>
      <w:lang w:val="ru-RU" w:eastAsia="hi-IN"/>
    </w:rPr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hi-IN"/>
    </w:rPr>
  </w:style>
  <w:style w:type="paragraph" w:styleId="Style2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hi-IN"/>
    </w:rPr>
  </w:style>
  <w:style w:type="numbering" w:styleId="123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LibreOffice/6.1.4.2$Windows_X86_64 LibreOffice_project/9d0f32d1f0b509096fd65e0d4bec26ddd1938fd3</Application>
  <Pages>2</Pages>
  <Words>327</Words>
  <Characters>2479</Characters>
  <CharactersWithSpaces>3466</CharactersWithSpaces>
  <Paragraphs>47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2023-05-29T16:35:00Z</dcterms:created>
  <dc:creator>КонсультантПлюс</dc:creator>
  <dc:description/>
  <dc:language>ru</dc:language>
  <cp:lastModifiedBy/>
  <dcterms:modified xsi:type="dcterms:W3CDTF">2023-07-28T11:30:54Z</dcterms:modified>
  <cp:revision>25</cp:revision>
  <dc:subject/>
  <dc:title>Постановление Администрации города Челябинска от 04.02.2019 N 43-п(ред. от 05.03.2020)"Об утверждении административного регламента предоставления муниципальной услуги "Перевод жилого помещения в нежилое помещение или нежилого помещения в жилое помещение"(вместе с "Административным регламентом предоставления муниципальной услуги "Перевод жилого помещения в нежилое помещение или нежилого помещения в жилое помещение")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4022.00.55</vt:lpwstr>
  </property>
</Properties>
</file>