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/>
        <w:rPr>
          <w:sz w:val="24"/>
          <w:szCs w:val="24"/>
        </w:rPr>
      </w:pPr>
      <w:r>
        <w:rPr>
          <w:rStyle w:val="677"/>
          <w:rFonts w:ascii="Times New Roman" w:hAnsi="Times New Roman" w:eastAsia="Calibri" w:cs="Times New Roman"/>
          <w:b w:val="0"/>
          <w:bCs w:val="0"/>
          <w:color w:val="000000"/>
          <w:spacing w:val="-6"/>
        </w:rPr>
        <w:t xml:space="preserve">                                                                                                                 </w:t>
      </w:r>
      <w:r>
        <w:rPr>
          <w:rStyle w:val="677"/>
          <w:rFonts w:ascii="Times New Roman" w:hAnsi="Times New Roman" w:eastAsia="Calibri" w:cs="Times New Roman"/>
          <w:b w:val="0"/>
          <w:bCs w:val="0"/>
          <w:color w:val="000000"/>
          <w:spacing w:val="-6"/>
        </w:rPr>
        <w:t xml:space="preserve"> </w:t>
      </w:r>
      <w:r>
        <w:rPr>
          <w:rStyle w:val="677"/>
          <w:rFonts w:ascii="Times New Roman" w:hAnsi="Times New Roman" w:eastAsia="Calibri" w:cs="Times New Roman"/>
          <w:b w:val="0"/>
          <w:bCs w:val="0"/>
          <w:color w:val="000000"/>
          <w:spacing w:val="-6"/>
          <w:sz w:val="24"/>
          <w:szCs w:val="24"/>
        </w:rPr>
        <w:t xml:space="preserve">Приложение 3</w:t>
      </w:r>
      <w:r>
        <w:rPr>
          <w:sz w:val="24"/>
          <w:szCs w:val="24"/>
        </w:rPr>
      </w:r>
    </w:p>
    <w:p>
      <w:pPr>
        <w:ind w:left="5387"/>
        <w:jc w:val="both"/>
        <w:rPr>
          <w:sz w:val="24"/>
          <w:szCs w:val="24"/>
        </w:rPr>
      </w:pPr>
      <w:r>
        <w:rPr>
          <w:rStyle w:val="677"/>
          <w:rFonts w:ascii="Times New Roman" w:hAnsi="Times New Roman" w:eastAsia="Calibri" w:cs="Times New Roman"/>
          <w:b w:val="0"/>
          <w:bCs w:val="0"/>
          <w:color w:val="000000"/>
          <w:spacing w:val="-6"/>
        </w:rPr>
        <w:t xml:space="preserve">                                                                                                             </w:t>
      </w:r>
      <w:r>
        <w:rPr>
          <w:rStyle w:val="677"/>
          <w:rFonts w:ascii="Times New Roman" w:hAnsi="Times New Roman" w:eastAsia="Calibri" w:cs="Times New Roman"/>
          <w:b w:val="0"/>
          <w:bCs w:val="0"/>
          <w:color w:val="000000"/>
          <w:spacing w:val="-6"/>
        </w:rPr>
        <w:t xml:space="preserve">     </w:t>
      </w:r>
      <w:r>
        <w:rPr>
          <w:rStyle w:val="677"/>
          <w:rFonts w:ascii="Times New Roman" w:hAnsi="Times New Roman" w:eastAsia="Calibri" w:cs="Times New Roman"/>
          <w:b w:val="0"/>
          <w:bCs w:val="0"/>
          <w:color w:val="000000"/>
          <w:spacing w:val="-6"/>
          <w:sz w:val="24"/>
          <w:szCs w:val="24"/>
        </w:rPr>
        <w:t xml:space="preserve">к распоряжению Администрации города</w:t>
      </w:r>
      <w:r>
        <w:rPr>
          <w:sz w:val="24"/>
          <w:szCs w:val="24"/>
        </w:rPr>
      </w:r>
    </w:p>
    <w:p>
      <w:pPr>
        <w:ind w:left="5387"/>
        <w:jc w:val="both"/>
        <w:rPr>
          <w:sz w:val="24"/>
          <w:szCs w:val="24"/>
        </w:rPr>
      </w:pPr>
      <w:r>
        <w:rPr>
          <w:rStyle w:val="677"/>
          <w:rFonts w:ascii="Times New Roman" w:hAnsi="Times New Roman" w:eastAsia="Calibri" w:cs="Times New Roman"/>
          <w:b w:val="0"/>
          <w:bCs w:val="0"/>
          <w:color w:val="000000"/>
          <w:spacing w:val="-6"/>
        </w:rPr>
        <w:t xml:space="preserve">                                                                                                                  </w:t>
      </w:r>
      <w:r>
        <w:rPr>
          <w:rStyle w:val="677"/>
          <w:rFonts w:ascii="Times New Roman" w:hAnsi="Times New Roman" w:eastAsia="Calibri" w:cs="Times New Roman"/>
          <w:b w:val="0"/>
          <w:bCs w:val="0"/>
          <w:color w:val="000000"/>
          <w:spacing w:val="-6"/>
          <w:sz w:val="24"/>
          <w:szCs w:val="24"/>
        </w:rPr>
        <w:t xml:space="preserve">от 17.04.2026 № 6108</w:t>
      </w:r>
      <w:r>
        <w:rPr>
          <w:sz w:val="24"/>
          <w:szCs w:val="24"/>
        </w:rPr>
      </w:r>
    </w:p>
    <w:p>
      <w:pPr>
        <w:pStyle w:val="687"/>
        <w:ind w:firstLine="709"/>
        <w:jc w:val="center"/>
        <w:spacing w:line="276" w:lineRule="auto"/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</w:pP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О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сновные виды разрешенного использования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,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 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п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редельные 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размеры земельных участков и 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параметры разрешенного строительства, реконструкции объектов капитального строительства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, 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которые могут быть выбраны при реализации решения о комплексном развитии 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территории 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не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жилой застройки 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                 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н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а пересечении улиц Академика Макеева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,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 Салавата Юлаева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, Университетс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к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ой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 Набережн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ой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 в Калининском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 районе города Челябинска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</w:r>
    </w:p>
    <w:p>
      <w:pPr>
        <w:pStyle w:val="687"/>
        <w:ind w:firstLine="709"/>
        <w:jc w:val="center"/>
        <w:spacing w:line="276" w:lineRule="auto"/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</w:pPr>
      <w:r>
        <w:rPr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</w:r>
    </w:p>
    <w:p>
      <w:pPr>
        <w:pStyle w:val="687"/>
        <w:ind w:firstLine="709"/>
        <w:jc w:val="both"/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</w:pP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1. Планируемая 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территориальная зона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 для территории нежилой застройки 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на пересечении улиц Академика Макеева, Салавата 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Юлаева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, Университетской Набережной в Калининском районе города Челябинска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 -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 территориальная зона 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Б.3.5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 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«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Смешанная зона реновации перспективной высотной застройки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»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.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</w:r>
    </w:p>
    <w:p>
      <w:pPr>
        <w:pStyle w:val="687"/>
        <w:ind w:firstLine="709"/>
        <w:jc w:val="both"/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</w:pP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Территориальная зона 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Б.3.5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 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предназначена для размещения жилых домов, объектов общественно-делового назначения и инфраструктуры, необходимой для функционирования таких объектов в 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точках развития высотного строительства на территории города Челябинска в отношении территорий (земельных участков и объектов капитального строительства), включенных в границы комплексного развития территории города Челябинска. Градостроительный регламент 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территориальной 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зоны 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Б.3.5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 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применяется в целях подготовки документации по планировке территории, разрабатываемой 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   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в отношении территорий, в границах которых осуществляется комплексное развитие территорий.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</w:r>
    </w:p>
    <w:p>
      <w:pPr>
        <w:pStyle w:val="687"/>
        <w:ind w:firstLine="709"/>
        <w:jc w:val="both"/>
        <w:spacing w:line="276" w:lineRule="auto"/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</w:pP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2. Виды разрешенного использования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 земельных участков и объектов капитального строительства,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территориальной зоне 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Б.3.5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  <w:t xml:space="preserve">:</w:t>
      </w:r>
      <w:r>
        <w:rPr>
          <w:rStyle w:val="677"/>
          <w:rFonts w:eastAsia="Calibri"/>
          <w:b w:val="0"/>
          <w:bCs w:val="0"/>
          <w:color w:val="000000"/>
          <w:spacing w:val="-6"/>
          <w:sz w:val="24"/>
          <w:szCs w:val="24"/>
          <w:lang w:eastAsia="en-US"/>
        </w:rPr>
      </w:r>
    </w:p>
    <w:tbl>
      <w:tblPr>
        <w:tblW w:w="15141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3900"/>
        <w:gridCol w:w="1275"/>
        <w:gridCol w:w="1406"/>
        <w:gridCol w:w="1463"/>
        <w:gridCol w:w="1425"/>
        <w:gridCol w:w="1564"/>
        <w:gridCol w:w="1276"/>
        <w:gridCol w:w="1417"/>
        <w:gridCol w:w="1415"/>
      </w:tblGrid>
      <w:tr>
        <w:tblPrEx/>
        <w:trPr>
          <w:tblHeader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0" w:type="dxa"/>
            <w:textDirection w:val="lrTb"/>
            <w:noWrap w:val="false"/>
          </w:tcPr>
          <w:p>
            <w:pPr>
              <w:pStyle w:val="6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Виды разрешенного использования земельных участков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686"/>
              <w:ind w:left="-82" w:right="-11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Минимальный размер участка, кв. м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textDirection w:val="lrTb"/>
            <w:noWrap w:val="false"/>
          </w:tcPr>
          <w:p>
            <w:pPr>
              <w:pStyle w:val="686"/>
              <w:ind w:left="-108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Максимальный размер участка, кв. м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686"/>
              <w:ind w:left="-111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Минимальный отступ от границ красных линий, территорий общего пользования, </w:t>
            </w:r>
            <w:r>
              <w:rPr>
                <w:sz w:val="20"/>
                <w:szCs w:val="20"/>
              </w:rPr>
              <w:t xml:space="preserve">м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textDirection w:val="lrTb"/>
            <w:noWrap w:val="false"/>
          </w:tcPr>
          <w:p>
            <w:pPr>
              <w:pStyle w:val="686"/>
              <w:ind w:left="-115" w:right="-1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Минимальный процент застройки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4" w:type="dxa"/>
            <w:textDirection w:val="lrTb"/>
            <w:noWrap w:val="false"/>
          </w:tcPr>
          <w:p>
            <w:pPr>
              <w:pStyle w:val="686"/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Максимальн</w:t>
            </w:r>
            <w:r>
              <w:rPr>
                <w:sz w:val="20"/>
                <w:szCs w:val="20"/>
              </w:rPr>
              <w:t xml:space="preserve">ы</w:t>
            </w:r>
            <w:r>
              <w:rPr>
                <w:sz w:val="20"/>
                <w:szCs w:val="20"/>
              </w:rPr>
              <w:t xml:space="preserve">й процент застройки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86"/>
              <w:ind w:left="-96" w:right="-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Минимальный процент озеленения*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86"/>
              <w:ind w:left="-92" w:right="-13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Коэффициент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строительного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использования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686"/>
              <w:ind w:left="-88" w:right="-9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Предельная этажность/ Максимальная высота ОКС, м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0" w:type="dxa"/>
            <w:textDirection w:val="lrTb"/>
            <w:noWrap w:val="false"/>
          </w:tcPr>
          <w:p>
            <w:pPr>
              <w:pStyle w:val="687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ar-SA" w:bidi="ar-SA"/>
              </w:rPr>
              <w:t xml:space="preserve">(2.6) многоэтажная жилая застройка (высотная застройка) **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6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4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20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trHeight w:val="28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0" w:type="dxa"/>
            <w:textDirection w:val="lrTb"/>
            <w:noWrap w:val="false"/>
          </w:tcPr>
          <w:p>
            <w:pPr>
              <w:pStyle w:val="687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ar-SA" w:bidi="ar-SA"/>
              </w:rPr>
              <w:t xml:space="preserve">(2.7.1) хранение автотранспорта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4" w:type="dxa"/>
            <w:textDirection w:val="lrTb"/>
            <w:noWrap w:val="false"/>
          </w:tcPr>
          <w:p>
            <w:pPr>
              <w:pStyle w:val="6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86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6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НУ</w:t>
            </w:r>
            <w:r>
              <w:rPr>
                <w:sz w:val="20"/>
                <w:szCs w:val="20"/>
              </w:rPr>
              <w:t xml:space="preserve">/НУ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0" w:type="dxa"/>
            <w:textDirection w:val="lrTb"/>
            <w:noWrap w:val="false"/>
          </w:tcPr>
          <w:p>
            <w:pPr>
              <w:pStyle w:val="687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(3.1.1) предоставление коммунальных услуг 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4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lang w:eastAsia="ru-RU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spacing w:after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НУ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6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НУ</w:t>
            </w:r>
            <w:r>
              <w:rPr>
                <w:sz w:val="20"/>
                <w:szCs w:val="20"/>
              </w:rPr>
              <w:t xml:space="preserve">/НУ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0" w:type="dxa"/>
            <w:textDirection w:val="lrTb"/>
            <w:noWrap w:val="false"/>
          </w:tcPr>
          <w:p>
            <w:pPr>
              <w:pStyle w:val="687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(3.4.1) амбулаторно-поликлиническое обслуживание 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10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4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20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/НУ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0" w:type="dxa"/>
            <w:textDirection w:val="lrTb"/>
            <w:noWrap w:val="false"/>
          </w:tcPr>
          <w:p>
            <w:pPr>
              <w:pStyle w:val="687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(3.5.1) дошкольное, начальное и среднее общее образование ***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68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textDirection w:val="lrTb"/>
            <w:noWrap w:val="false"/>
          </w:tcPr>
          <w:p>
            <w:pPr>
              <w:pStyle w:val="68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68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10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textDirection w:val="lrTb"/>
            <w:noWrap w:val="false"/>
          </w:tcPr>
          <w:p>
            <w:pPr>
              <w:pStyle w:val="68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10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4" w:type="dxa"/>
            <w:textDirection w:val="lrTb"/>
            <w:noWrap w:val="false"/>
          </w:tcPr>
          <w:p>
            <w:pPr>
              <w:pStyle w:val="68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8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20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8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687"/>
              <w:jc w:val="center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/НУ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0" w:type="dxa"/>
            <w:textDirection w:val="lrTb"/>
            <w:noWrap w:val="false"/>
          </w:tcPr>
          <w:p>
            <w:pPr>
              <w:pStyle w:val="687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(3.6.1) объекты культурно-досуговой деятельности 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4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20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/НУ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0" w:type="dxa"/>
            <w:textDirection w:val="lrTb"/>
            <w:noWrap w:val="false"/>
          </w:tcPr>
          <w:p>
            <w:pPr>
              <w:pStyle w:val="687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(3.8.1) государственное управление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4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20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/НУ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0" w:type="dxa"/>
            <w:textDirection w:val="lrTb"/>
            <w:noWrap w:val="false"/>
          </w:tcPr>
          <w:p>
            <w:pPr>
              <w:pStyle w:val="687"/>
              <w:ind w:right="-140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(3.8.2) представительская деятельность 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687"/>
              <w:ind w:right="-113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textDirection w:val="lrTb"/>
            <w:noWrap w:val="false"/>
          </w:tcPr>
          <w:p>
            <w:pPr>
              <w:pStyle w:val="687"/>
              <w:ind w:right="-140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687"/>
              <w:ind w:right="-140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textDirection w:val="lrTb"/>
            <w:noWrap w:val="false"/>
          </w:tcPr>
          <w:p>
            <w:pPr>
              <w:pStyle w:val="687"/>
              <w:ind w:right="-140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4" w:type="dxa"/>
            <w:textDirection w:val="lrTb"/>
            <w:noWrap w:val="false"/>
          </w:tcPr>
          <w:p>
            <w:pPr>
              <w:pStyle w:val="687"/>
              <w:ind w:right="-140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87"/>
              <w:ind w:right="-140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20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87"/>
              <w:ind w:right="-140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687"/>
              <w:ind w:right="-140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/НУ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0" w:type="dxa"/>
            <w:textDirection w:val="lrTb"/>
            <w:noWrap w:val="false"/>
          </w:tcPr>
          <w:p>
            <w:pPr>
              <w:pStyle w:val="687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(4.1) деловое управление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4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20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/НУ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0" w:type="dxa"/>
            <w:textDirection w:val="lrTb"/>
            <w:noWrap w:val="false"/>
          </w:tcPr>
          <w:p>
            <w:pPr>
              <w:pStyle w:val="687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(4.7) гостиничное обслуживание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4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20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/НУ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0" w:type="dxa"/>
            <w:textDirection w:val="lrTb"/>
            <w:noWrap w:val="false"/>
          </w:tcPr>
          <w:p>
            <w:pPr>
              <w:pStyle w:val="687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(4.9) служебные гаражи 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3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4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20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/НУ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0" w:type="dxa"/>
            <w:textDirection w:val="lrTb"/>
            <w:noWrap w:val="false"/>
          </w:tcPr>
          <w:p>
            <w:pPr>
              <w:pStyle w:val="687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(4.9.1.1) заправка транспортных средств ****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4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/НУ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0" w:type="dxa"/>
            <w:textDirection w:val="lrTb"/>
            <w:noWrap w:val="false"/>
          </w:tcPr>
          <w:p>
            <w:pPr>
              <w:pStyle w:val="687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(4.9.2) стоянка транспортных средств 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4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20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/НУ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0" w:type="dxa"/>
            <w:textDirection w:val="lrTb"/>
            <w:noWrap w:val="false"/>
          </w:tcPr>
          <w:p>
            <w:pPr>
              <w:pStyle w:val="687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(5.1.3) площадки для занятий спортом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0 - не менее 10 м от окон жилых            и обществе</w:t>
            </w: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</w:t>
            </w: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ных зданий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4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15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/НУ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0" w:type="dxa"/>
            <w:textDirection w:val="lrTb"/>
            <w:noWrap w:val="false"/>
          </w:tcPr>
          <w:p>
            <w:pPr>
              <w:pStyle w:val="687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(5.1.4) оборудованные площадки для занятий спортом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0 - не менее 10 м от окон жилых             и обществе</w:t>
            </w: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</w:t>
            </w: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ных зданий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4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15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/НУ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0" w:type="dxa"/>
            <w:textDirection w:val="lrTb"/>
            <w:noWrap w:val="false"/>
          </w:tcPr>
          <w:p>
            <w:pPr>
              <w:pStyle w:val="687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(6.8) связь*****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4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/НУ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0" w:type="dxa"/>
            <w:textDirection w:val="lrTb"/>
            <w:noWrap w:val="false"/>
          </w:tcPr>
          <w:p>
            <w:pPr>
              <w:pStyle w:val="687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(8.0) обеспечение обороны и безопасности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4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0" w:type="dxa"/>
            <w:textDirection w:val="lrTb"/>
            <w:noWrap w:val="false"/>
          </w:tcPr>
          <w:p>
            <w:pPr>
              <w:pStyle w:val="687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(8.3) обеспечение внутреннего правопорядка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4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20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/НУ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0" w:type="dxa"/>
            <w:textDirection w:val="lrTb"/>
            <w:noWrap w:val="false"/>
          </w:tcPr>
          <w:p>
            <w:pPr>
              <w:pStyle w:val="687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(12.0.1) улично-дорожная сеть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4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/НУ</w:t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82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00" w:type="dxa"/>
            <w:textDirection w:val="lrTb"/>
            <w:noWrap w:val="false"/>
          </w:tcPr>
          <w:p>
            <w:pPr>
              <w:pStyle w:val="687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(12.0.2) благоустройство территории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6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63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2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4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40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5" w:type="dxa"/>
            <w:textDirection w:val="lrTb"/>
            <w:noWrap w:val="false"/>
          </w:tcPr>
          <w:p>
            <w:pPr>
              <w:pStyle w:val="687"/>
              <w:jc w:val="center"/>
              <w:spacing w:line="232" w:lineRule="auto"/>
              <w:widowControl w:val="off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НУ</w:t>
            </w:r>
            <w:r>
              <w:rPr>
                <w:rFonts w:eastAsia="Times New Roman"/>
                <w:sz w:val="20"/>
                <w:szCs w:val="20"/>
                <w:lang w:eastAsia="ar-SA" w:bidi="ar-SA"/>
              </w:rPr>
              <w:t xml:space="preserve">/НУ</w:t>
            </w:r>
            <w:r>
              <w:rPr>
                <w:sz w:val="20"/>
                <w:szCs w:val="20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ОКС</w:t>
      </w:r>
      <w:r>
        <w:rPr>
          <w:rFonts w:ascii="Times New Roman" w:hAnsi="Times New Roman" w:cs="Times New Roman"/>
        </w:rPr>
        <w:t xml:space="preserve"> – объект капитального строительства</w:t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НУ – не устанавливаются</w:t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540"/>
        <w:jc w:val="both"/>
        <w:spacing w:after="0" w:line="23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eastAsia="ar-SA"/>
        </w:rPr>
        <w:t xml:space="preserve">Примечания:</w:t>
      </w:r>
      <w:r>
        <w:rPr>
          <w:rFonts w:ascii="Times New Roman" w:hAnsi="Times New Roman" w:cs="Times New Roman"/>
        </w:rPr>
      </w:r>
    </w:p>
    <w:p>
      <w:pPr>
        <w:ind w:firstLine="540"/>
        <w:jc w:val="both"/>
        <w:spacing w:after="0" w:line="230" w:lineRule="auto"/>
        <w:rPr>
          <w:rFonts w:ascii="Times New Roman" w:hAnsi="Times New Roman" w:cs="Times New Roman"/>
        </w:rPr>
      </w:pPr>
      <w:r/>
      <w:bookmarkStart w:id="0" w:name="P452"/>
      <w:r/>
      <w:bookmarkEnd w:id="0"/>
      <w:r>
        <w:rPr>
          <w:rFonts w:ascii="Times New Roman" w:hAnsi="Times New Roman" w:eastAsia="Times New Roman" w:cs="Times New Roman"/>
          <w:lang w:eastAsia="ar-SA"/>
        </w:rPr>
        <w:t xml:space="preserve">*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eastAsia="Times New Roman" w:cs="Times New Roman"/>
          <w:lang w:eastAsia="ar-SA"/>
        </w:rPr>
        <w:t xml:space="preserve">Процент озеленения должен учитывать сочетание древесной, кустарниковой и травянистой растительности в пропорции 4:3:3 соответственно. </w:t>
      </w:r>
      <w:r>
        <w:rPr>
          <w:rFonts w:ascii="Times New Roman" w:hAnsi="Times New Roman" w:eastAsia="Times New Roman" w:cs="Times New Roman"/>
          <w:lang w:eastAsia="ar-SA"/>
        </w:rPr>
        <w:t xml:space="preserve">                    </w:t>
      </w:r>
      <w:r>
        <w:rPr>
          <w:rFonts w:ascii="Times New Roman" w:hAnsi="Times New Roman" w:eastAsia="Times New Roman" w:cs="Times New Roman"/>
          <w:lang w:eastAsia="ar-SA"/>
        </w:rPr>
        <w:t xml:space="preserve">В случае наличия в границах земельного участка охранных зон объектов инженерной инфраструктуры, исключающих возможность размещения древесной </w:t>
      </w:r>
      <w:r>
        <w:rPr>
          <w:rFonts w:ascii="Times New Roman" w:hAnsi="Times New Roman" w:eastAsia="Times New Roman" w:cs="Times New Roman"/>
          <w:lang w:eastAsia="ar-SA"/>
        </w:rPr>
        <w:t xml:space="preserve">                  </w:t>
      </w:r>
      <w:r>
        <w:rPr>
          <w:rFonts w:ascii="Times New Roman" w:hAnsi="Times New Roman" w:eastAsia="Times New Roman" w:cs="Times New Roman"/>
          <w:lang w:eastAsia="ar-SA"/>
        </w:rPr>
        <w:t xml:space="preserve">и (или) кустарниковой растительности, указанные пропорции не подлежат применению. </w:t>
      </w:r>
      <w:r>
        <w:rPr>
          <w:rFonts w:ascii="Times New Roman" w:hAnsi="Times New Roman" w:cs="Times New Roman"/>
        </w:rPr>
      </w:r>
    </w:p>
    <w:p>
      <w:pPr>
        <w:pStyle w:val="687"/>
        <w:ind w:firstLine="540"/>
        <w:jc w:val="both"/>
        <w:spacing w:line="230" w:lineRule="auto"/>
        <w:rPr>
          <w:sz w:val="22"/>
          <w:szCs w:val="22"/>
        </w:rPr>
      </w:pPr>
      <w:r>
        <w:rPr>
          <w:rFonts w:eastAsia="Times New Roman"/>
          <w:sz w:val="22"/>
          <w:szCs w:val="22"/>
          <w:lang w:eastAsia="ar-SA" w:bidi="ar-SA"/>
        </w:rPr>
        <w:t xml:space="preserve">**</w:t>
      </w:r>
      <w:r>
        <w:rPr>
          <w:sz w:val="22"/>
          <w:szCs w:val="22"/>
        </w:rPr>
        <w:t xml:space="preserve"> – </w:t>
      </w:r>
      <w:r>
        <w:rPr>
          <w:rFonts w:eastAsia="Times New Roman"/>
          <w:sz w:val="22"/>
          <w:szCs w:val="22"/>
          <w:lang w:eastAsia="ar-SA" w:bidi="ar-SA"/>
        </w:rPr>
        <w:t xml:space="preserve">Строительство территории жилой застройки с видами разрешенного использования 2.5, 2.6 допускается только при достижении минимального уровня обеспеченности и доступности объектами социальной, транспортной и инженерной инфраструктуры в соответствии с</w:t>
      </w:r>
      <w:r>
        <w:rPr>
          <w:rFonts w:eastAsia="Times New Roman"/>
          <w:sz w:val="22"/>
          <w:szCs w:val="22"/>
          <w:lang w:eastAsia="ar-SA" w:bidi="ar-SA"/>
        </w:rPr>
        <w:t xml:space="preserve"> </w:t>
      </w:r>
      <w:r>
        <w:rPr>
          <w:rFonts w:eastAsia="Times New Roman"/>
          <w:sz w:val="22"/>
          <w:szCs w:val="22"/>
          <w:lang w:eastAsia="ar-SA" w:bidi="ar-SA"/>
        </w:rPr>
        <w:t xml:space="preserve">Норматив</w:t>
      </w:r>
      <w:r>
        <w:rPr>
          <w:rFonts w:eastAsia="Times New Roman"/>
          <w:sz w:val="22"/>
          <w:szCs w:val="22"/>
          <w:lang w:eastAsia="ar-SA" w:bidi="ar-SA"/>
        </w:rPr>
        <w:t xml:space="preserve">ами</w:t>
      </w:r>
      <w:r>
        <w:rPr>
          <w:rFonts w:eastAsia="Times New Roman"/>
          <w:sz w:val="22"/>
          <w:szCs w:val="22"/>
          <w:lang w:eastAsia="ar-SA" w:bidi="ar-SA"/>
        </w:rPr>
        <w:t xml:space="preserve"> градостроительного проектирования муниципального образования «город Челябинск»</w:t>
      </w:r>
      <w:r>
        <w:rPr>
          <w:rFonts w:eastAsia="Times New Roman"/>
          <w:sz w:val="22"/>
          <w:szCs w:val="22"/>
          <w:lang w:eastAsia="ar-SA" w:bidi="ar-SA"/>
        </w:rPr>
        <w:t xml:space="preserve">,</w:t>
      </w:r>
      <w:r>
        <w:rPr>
          <w:rFonts w:eastAsia="Times New Roman"/>
          <w:sz w:val="22"/>
          <w:szCs w:val="22"/>
          <w:lang w:eastAsia="ar-SA" w:bidi="ar-SA"/>
        </w:rPr>
        <w:t xml:space="preserve"> утвержден</w:t>
      </w:r>
      <w:r>
        <w:rPr>
          <w:rFonts w:eastAsia="Times New Roman"/>
          <w:sz w:val="22"/>
          <w:szCs w:val="22"/>
          <w:lang w:eastAsia="ar-SA" w:bidi="ar-SA"/>
        </w:rPr>
        <w:t xml:space="preserve">н</w:t>
      </w:r>
      <w:r>
        <w:rPr>
          <w:rFonts w:eastAsia="Times New Roman"/>
          <w:sz w:val="22"/>
          <w:szCs w:val="22"/>
          <w:lang w:eastAsia="ar-SA" w:bidi="ar-SA"/>
        </w:rPr>
        <w:t xml:space="preserve">ы</w:t>
      </w:r>
      <w:r>
        <w:rPr>
          <w:rFonts w:eastAsia="Times New Roman"/>
          <w:sz w:val="22"/>
          <w:szCs w:val="22"/>
          <w:lang w:eastAsia="ar-SA" w:bidi="ar-SA"/>
        </w:rPr>
        <w:t xml:space="preserve">ми</w:t>
      </w:r>
      <w:r>
        <w:rPr>
          <w:rFonts w:eastAsia="Times New Roman"/>
          <w:sz w:val="22"/>
          <w:szCs w:val="22"/>
          <w:lang w:eastAsia="ar-SA" w:bidi="ar-SA"/>
        </w:rPr>
        <w:t xml:space="preserve"> решением Челябинской городской Думы от 17.02.2015 № 6/8</w:t>
      </w:r>
      <w:r>
        <w:rPr>
          <w:rFonts w:eastAsia="Times New Roman"/>
          <w:sz w:val="22"/>
          <w:szCs w:val="22"/>
          <w:lang w:eastAsia="ar-SA" w:bidi="ar-SA"/>
        </w:rPr>
        <w:t xml:space="preserve">.</w:t>
      </w:r>
      <w:r>
        <w:rPr>
          <w:sz w:val="22"/>
          <w:szCs w:val="22"/>
        </w:rPr>
      </w:r>
    </w:p>
    <w:p>
      <w:pPr>
        <w:ind w:firstLine="540"/>
        <w:jc w:val="both"/>
        <w:spacing w:after="0" w:line="23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eastAsia="ar-SA"/>
        </w:rPr>
        <w:t xml:space="preserve">К земе</w:t>
      </w:r>
      <w:r>
        <w:rPr>
          <w:rFonts w:ascii="Times New Roman" w:hAnsi="Times New Roman" w:eastAsia="Times New Roman" w:cs="Times New Roman"/>
          <w:lang w:eastAsia="ar-SA"/>
        </w:rPr>
        <w:t xml:space="preserve">льным участкам с видами разрешенного использования 2.5, 2.6, образуемым в соответствии с документацией по планировке территории, утвержденной до 06.09.2023, применяются размеры земельных участков, установленные такой документацией по планировке территории.</w:t>
      </w:r>
      <w:r>
        <w:rPr>
          <w:rFonts w:ascii="Times New Roman" w:hAnsi="Times New Roman" w:cs="Times New Roman"/>
        </w:rPr>
      </w:r>
    </w:p>
    <w:p>
      <w:pPr>
        <w:ind w:firstLine="540"/>
        <w:jc w:val="both"/>
        <w:spacing w:after="0" w:line="230" w:lineRule="auto"/>
        <w:rPr>
          <w:rFonts w:ascii="Times New Roman" w:hAnsi="Times New Roman" w:cs="Times New Roman"/>
        </w:rPr>
      </w:pPr>
      <w:r/>
      <w:bookmarkStart w:id="1" w:name="P458"/>
      <w:r/>
      <w:bookmarkEnd w:id="1"/>
      <w:r>
        <w:rPr>
          <w:rFonts w:ascii="Times New Roman" w:hAnsi="Times New Roman" w:eastAsia="Times New Roman" w:cs="Times New Roman"/>
          <w:lang w:eastAsia="ar-SA"/>
        </w:rPr>
        <w:t xml:space="preserve">***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eastAsia="Times New Roman" w:cs="Times New Roman"/>
          <w:lang w:eastAsia="ar-SA"/>
        </w:rPr>
        <w:t xml:space="preserve">Площадь земельного участка составляет для дошкольного образования: мощностью до 100 человек – 44 кв. м на человека, свыше 100 – 38 кв. м, </w:t>
      </w:r>
      <w:r>
        <w:rPr>
          <w:rFonts w:ascii="Times New Roman" w:hAnsi="Times New Roman" w:eastAsia="Times New Roman" w:cs="Times New Roman"/>
          <w:lang w:eastAsia="ar-SA"/>
        </w:rPr>
        <w:t xml:space="preserve">                  </w:t>
      </w:r>
      <w:r>
        <w:rPr>
          <w:rFonts w:ascii="Times New Roman" w:hAnsi="Times New Roman" w:eastAsia="Times New Roman" w:cs="Times New Roman"/>
          <w:lang w:eastAsia="ar-SA"/>
        </w:rPr>
        <w:t xml:space="preserve">в комплексе дошкольных образовательных организаций свыше 500 мест – 30 кв. м. Начальное и общее образование: до 500 мест – 65 кв. м на человека, до 600 мест – 55 кв. м на человека, до 800 мест – 45 кв. м на человека</w:t>
      </w:r>
      <w:r>
        <w:rPr>
          <w:rFonts w:ascii="Times New Roman" w:hAnsi="Times New Roman" w:eastAsia="Times New Roman" w:cs="Times New Roman"/>
          <w:lang w:eastAsia="ar-SA"/>
        </w:rPr>
        <w:t xml:space="preserve">, до 1100 мест – 36 кв. м на человека, до 1500 – 23 кв. м на человека, до 2000 – 18 кв. м </w:t>
      </w:r>
      <w:r>
        <w:rPr>
          <w:rFonts w:ascii="Times New Roman" w:hAnsi="Times New Roman" w:eastAsia="Times New Roman" w:cs="Times New Roman"/>
          <w:lang w:eastAsia="ar-SA"/>
        </w:rPr>
        <w:t xml:space="preserve">                         </w:t>
      </w:r>
      <w:r>
        <w:rPr>
          <w:rFonts w:ascii="Times New Roman" w:hAnsi="Times New Roman" w:eastAsia="Times New Roman" w:cs="Times New Roman"/>
          <w:lang w:eastAsia="ar-SA"/>
        </w:rPr>
        <w:t xml:space="preserve">на человека.</w:t>
      </w:r>
      <w:bookmarkStart w:id="2" w:name="P459"/>
      <w:r/>
      <w:bookmarkEnd w:id="2"/>
      <w:r/>
      <w:r>
        <w:rPr>
          <w:rFonts w:ascii="Times New Roman" w:hAnsi="Times New Roman" w:cs="Times New Roman"/>
        </w:rPr>
      </w:r>
    </w:p>
    <w:p>
      <w:pPr>
        <w:ind w:firstLine="540"/>
        <w:jc w:val="both"/>
        <w:spacing w:after="0" w:line="230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eastAsia="ar-SA"/>
        </w:rPr>
        <w:t xml:space="preserve">****</w:t>
      </w:r>
      <w:r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eastAsia="Times New Roman" w:cs="Times New Roman"/>
          <w:lang w:eastAsia="ar-SA"/>
        </w:rPr>
        <w:t xml:space="preserve">Допускается размещение только зарядных станций для электромобилей.</w:t>
      </w:r>
      <w:r>
        <w:rPr>
          <w:rFonts w:ascii="Times New Roman" w:hAnsi="Times New Roman" w:cs="Times New Roman"/>
        </w:rPr>
      </w:r>
    </w:p>
    <w:p>
      <w:pPr>
        <w:pStyle w:val="687"/>
        <w:ind w:firstLine="540"/>
        <w:jc w:val="both"/>
        <w:spacing w:line="230" w:lineRule="auto"/>
        <w:rPr>
          <w:rFonts w:eastAsia="Times New Roman"/>
          <w:sz w:val="22"/>
          <w:szCs w:val="22"/>
          <w:lang w:eastAsia="ar-SA" w:bidi="ar-SA"/>
        </w:rPr>
      </w:pPr>
      <w:r/>
      <w:bookmarkStart w:id="3" w:name="P460"/>
      <w:r/>
      <w:bookmarkEnd w:id="3"/>
      <w:r>
        <w:rPr>
          <w:rFonts w:eastAsia="Times New Roman"/>
          <w:sz w:val="22"/>
          <w:szCs w:val="22"/>
          <w:lang w:eastAsia="ar-SA" w:bidi="ar-SA"/>
        </w:rPr>
        <w:t xml:space="preserve">*****</w:t>
      </w:r>
      <w:r>
        <w:rPr>
          <w:sz w:val="22"/>
          <w:szCs w:val="22"/>
        </w:rPr>
        <w:t xml:space="preserve"> – </w:t>
      </w:r>
      <w:r>
        <w:rPr>
          <w:rFonts w:eastAsia="Times New Roman"/>
          <w:sz w:val="22"/>
          <w:szCs w:val="22"/>
          <w:lang w:eastAsia="ar-SA" w:bidi="ar-SA"/>
        </w:rPr>
        <w:t xml:space="preserve">Допускается только в виде встроенных, встроенно-пристроенных, пристроенных помещений объектов капитального строительства.</w:t>
      </w:r>
      <w:r>
        <w:rPr>
          <w:rFonts w:eastAsia="Times New Roman"/>
          <w:sz w:val="22"/>
          <w:szCs w:val="22"/>
          <w:lang w:eastAsia="ar-SA" w:bidi="ar-SA"/>
        </w:rPr>
      </w:r>
    </w:p>
    <w:p>
      <w:pPr>
        <w:pStyle w:val="687"/>
        <w:ind w:firstLine="540"/>
        <w:jc w:val="both"/>
        <w:spacing w:line="230" w:lineRule="auto"/>
        <w:rPr>
          <w:rFonts w:eastAsia="Times New Roman"/>
          <w:sz w:val="22"/>
          <w:szCs w:val="22"/>
          <w:lang w:eastAsia="ar-SA" w:bidi="ar-SA"/>
        </w:rPr>
      </w:pPr>
      <w:r>
        <w:rPr>
          <w:rFonts w:eastAsia="Times New Roman"/>
          <w:sz w:val="22"/>
          <w:szCs w:val="22"/>
          <w:lang w:eastAsia="ar-SA" w:bidi="ar-SA"/>
        </w:rPr>
      </w:r>
      <w:r>
        <w:rPr>
          <w:rFonts w:eastAsia="Times New Roman"/>
          <w:sz w:val="22"/>
          <w:szCs w:val="22"/>
          <w:lang w:eastAsia="ar-SA" w:bidi="ar-SA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. Сумма общих площадей помещений, выполняющих жилую функцию (в том числе необход</w:t>
      </w:r>
      <w:r>
        <w:rPr>
          <w:rFonts w:ascii="Times New Roman" w:hAnsi="Times New Roman" w:cs="Times New Roman"/>
          <w:sz w:val="24"/>
          <w:szCs w:val="24"/>
        </w:rPr>
        <w:t xml:space="preserve">имых для эксплуатации жилых помещений и относимых к общему имуществу многоквартирных домов), не может превышать 80 % от суммы общих площадей всех объектов капитального строительства в данной территориальной зоне в границах элемента планировочной структуры.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</w:t>
      </w:r>
      <w:r>
        <w:rPr>
          <w:rFonts w:ascii="Times New Roman" w:hAnsi="Times New Roman" w:cs="Times New Roman"/>
          <w:sz w:val="24"/>
          <w:szCs w:val="24"/>
        </w:rPr>
        <w:t xml:space="preserve">. Минимальная высота первого этажа (от отметки чистого пола) застройки, выходящей на красные линии, - 3,6 м. Параметр действует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на фасады, выходящие на границу земельного участка, примыкающую к улично-дорожной сети.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. В территориальной зоне </w:t>
      </w:r>
      <w:r>
        <w:rPr>
          <w:rFonts w:ascii="Times New Roman" w:hAnsi="Times New Roman" w:cs="Times New Roman"/>
          <w:sz w:val="24"/>
          <w:szCs w:val="24"/>
        </w:rPr>
        <w:t xml:space="preserve">Б.3.5</w:t>
      </w:r>
      <w:r>
        <w:rPr>
          <w:rFonts w:ascii="Times New Roman" w:hAnsi="Times New Roman" w:cs="Times New Roman"/>
          <w:sz w:val="24"/>
          <w:szCs w:val="24"/>
        </w:rPr>
        <w:t xml:space="preserve"> для кодов (2.6) многоэтажная жилая застройка (высотная застрой</w:t>
      </w:r>
      <w:r>
        <w:rPr>
          <w:rFonts w:ascii="Times New Roman" w:hAnsi="Times New Roman" w:cs="Times New Roman"/>
          <w:sz w:val="24"/>
          <w:szCs w:val="24"/>
        </w:rPr>
        <w:t xml:space="preserve">ка), (3.8) общественное управление, (3.8.1) государственное управление, (4.1) деловое управление, (4.7) гостиничное обслуживание минимальная высота объекта капитального строительства (в наивысшей точке) должна быть не менее 75 метров, при этом допускается </w:t>
      </w:r>
      <w:r>
        <w:rPr>
          <w:rFonts w:ascii="Times New Roman" w:hAnsi="Times New Roman" w:cs="Times New Roman"/>
          <w:sz w:val="24"/>
          <w:szCs w:val="24"/>
        </w:rPr>
        <w:t xml:space="preserve">разноэтажная</w:t>
      </w:r>
      <w:r>
        <w:rPr>
          <w:rFonts w:ascii="Times New Roman" w:hAnsi="Times New Roman" w:cs="Times New Roman"/>
          <w:sz w:val="24"/>
          <w:szCs w:val="24"/>
        </w:rPr>
        <w:t xml:space="preserve"> модель застройки.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кода (2.5) </w:t>
      </w:r>
      <w:r>
        <w:rPr>
          <w:rFonts w:ascii="Times New Roman" w:hAnsi="Times New Roman" w:cs="Times New Roman"/>
          <w:sz w:val="24"/>
          <w:szCs w:val="24"/>
        </w:rPr>
        <w:t xml:space="preserve">среднеэтажная</w:t>
      </w:r>
      <w:r>
        <w:rPr>
          <w:rFonts w:ascii="Times New Roman" w:hAnsi="Times New Roman" w:cs="Times New Roman"/>
          <w:sz w:val="24"/>
          <w:szCs w:val="24"/>
        </w:rPr>
        <w:t xml:space="preserve"> жилая застройка допускается: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в составе </w:t>
      </w:r>
      <w:r>
        <w:rPr>
          <w:rFonts w:ascii="Times New Roman" w:hAnsi="Times New Roman" w:cs="Times New Roman"/>
          <w:sz w:val="24"/>
          <w:szCs w:val="24"/>
        </w:rPr>
        <w:t xml:space="preserve">разноэтажного</w:t>
      </w:r>
      <w:r>
        <w:rPr>
          <w:rFonts w:ascii="Times New Roman" w:hAnsi="Times New Roman" w:cs="Times New Roman"/>
          <w:sz w:val="24"/>
          <w:szCs w:val="24"/>
        </w:rPr>
        <w:t xml:space="preserve"> объекта капитального строительства с основным видом разрешенного использования 2.6 многоэтажная жилая застройка (высотная застройка);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в виде отдельного объекта капитального строительства в составе комплекса жилых зданий с основным видом разрешенного использования 2.6 многоэтажная жилая застройка (высотная застройка).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 Размещение расчетного количества </w:t>
      </w:r>
      <w:r>
        <w:rPr>
          <w:rFonts w:ascii="Times New Roman" w:hAnsi="Times New Roman" w:cs="Times New Roman"/>
          <w:sz w:val="24"/>
          <w:szCs w:val="24"/>
        </w:rPr>
        <w:t xml:space="preserve">машино</w:t>
      </w:r>
      <w:r>
        <w:rPr>
          <w:rFonts w:ascii="Times New Roman" w:hAnsi="Times New Roman" w:cs="Times New Roman"/>
          <w:sz w:val="24"/>
          <w:szCs w:val="24"/>
        </w:rPr>
        <w:t xml:space="preserve">-мест для </w:t>
      </w:r>
      <w:r>
        <w:rPr>
          <w:rFonts w:ascii="Times New Roman" w:hAnsi="Times New Roman" w:cs="Times New Roman"/>
          <w:sz w:val="24"/>
          <w:szCs w:val="24"/>
        </w:rPr>
        <w:t xml:space="preserve">обслуживания</w:t>
      </w:r>
      <w:r>
        <w:rPr>
          <w:rFonts w:ascii="Times New Roman" w:hAnsi="Times New Roman" w:cs="Times New Roman"/>
          <w:sz w:val="24"/>
          <w:szCs w:val="24"/>
        </w:rPr>
        <w:t xml:space="preserve"> строящегося (реконструируемого) объекта капитального строительства осуществляется в следующих соотношениях: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</w:t>
      </w:r>
      <w:r>
        <w:rPr>
          <w:rFonts w:ascii="Times New Roman" w:hAnsi="Times New Roman" w:cs="Times New Roman"/>
          <w:sz w:val="24"/>
          <w:szCs w:val="24"/>
        </w:rPr>
        <w:t xml:space="preserve"> не менее 70 % </w:t>
      </w:r>
      <w:r>
        <w:rPr>
          <w:rFonts w:ascii="Times New Roman" w:hAnsi="Times New Roman" w:cs="Times New Roman"/>
          <w:sz w:val="24"/>
          <w:szCs w:val="24"/>
        </w:rPr>
        <w:t xml:space="preserve">машино</w:t>
      </w:r>
      <w:r>
        <w:rPr>
          <w:rFonts w:ascii="Times New Roman" w:hAnsi="Times New Roman" w:cs="Times New Roman"/>
          <w:sz w:val="24"/>
          <w:szCs w:val="24"/>
        </w:rPr>
        <w:t xml:space="preserve">-мест размещаются в границах земельного участка, на котором планируется строительство (реконструкция) объекта капитального строительства, и не более 30 % </w:t>
      </w:r>
      <w:r>
        <w:rPr>
          <w:rFonts w:ascii="Times New Roman" w:hAnsi="Times New Roman" w:cs="Times New Roman"/>
          <w:sz w:val="24"/>
          <w:szCs w:val="24"/>
        </w:rPr>
        <w:t xml:space="preserve">машино</w:t>
      </w:r>
      <w:r>
        <w:rPr>
          <w:rFonts w:ascii="Times New Roman" w:hAnsi="Times New Roman" w:cs="Times New Roman"/>
          <w:sz w:val="24"/>
          <w:szCs w:val="24"/>
        </w:rPr>
        <w:t xml:space="preserve">-мест размещаются в пешеходной доступности не более 800 м;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</w:t>
      </w:r>
      <w:r>
        <w:rPr>
          <w:rFonts w:ascii="Times New Roman" w:hAnsi="Times New Roman" w:cs="Times New Roman"/>
          <w:sz w:val="24"/>
          <w:szCs w:val="24"/>
        </w:rPr>
        <w:t xml:space="preserve"> в случае размещения в границах комплексного развития территории не менее 30 % </w:t>
      </w:r>
      <w:r>
        <w:rPr>
          <w:rFonts w:ascii="Times New Roman" w:hAnsi="Times New Roman" w:cs="Times New Roman"/>
          <w:sz w:val="24"/>
          <w:szCs w:val="24"/>
        </w:rPr>
        <w:t xml:space="preserve">машино</w:t>
      </w:r>
      <w:r>
        <w:rPr>
          <w:rFonts w:ascii="Times New Roman" w:hAnsi="Times New Roman" w:cs="Times New Roman"/>
          <w:sz w:val="24"/>
          <w:szCs w:val="24"/>
        </w:rPr>
        <w:t xml:space="preserve">-мест в многоуровневой или подземной парковке, в границах земельного участка, на котором планируется строительство (реконструкция) объекта капитального строительства, подлежат к размещению не менее 50 % </w:t>
      </w:r>
      <w:r>
        <w:rPr>
          <w:rFonts w:ascii="Times New Roman" w:hAnsi="Times New Roman" w:cs="Times New Roman"/>
          <w:sz w:val="24"/>
          <w:szCs w:val="24"/>
        </w:rPr>
        <w:t xml:space="preserve">машино</w:t>
      </w:r>
      <w:r>
        <w:rPr>
          <w:rFonts w:ascii="Times New Roman" w:hAnsi="Times New Roman" w:cs="Times New Roman"/>
          <w:sz w:val="24"/>
          <w:szCs w:val="24"/>
        </w:rPr>
        <w:t xml:space="preserve">-мест и не более 20 % </w:t>
      </w:r>
      <w:r>
        <w:rPr>
          <w:rFonts w:ascii="Times New Roman" w:hAnsi="Times New Roman" w:cs="Times New Roman"/>
          <w:sz w:val="24"/>
          <w:szCs w:val="24"/>
        </w:rPr>
        <w:t xml:space="preserve">машино</w:t>
      </w:r>
      <w:r>
        <w:rPr>
          <w:rFonts w:ascii="Times New Roman" w:hAnsi="Times New Roman" w:cs="Times New Roman"/>
          <w:sz w:val="24"/>
          <w:szCs w:val="24"/>
        </w:rPr>
        <w:t xml:space="preserve">-мест – в пешеходной доступности в радиусе не более 800 м.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Ограничения использования земельных участков и объектов капитального строительства, находящихся в зоне </w:t>
      </w:r>
      <w:r>
        <w:rPr>
          <w:rFonts w:ascii="Times New Roman" w:hAnsi="Times New Roman" w:cs="Times New Roman"/>
          <w:sz w:val="24"/>
          <w:szCs w:val="24"/>
        </w:rPr>
        <w:t xml:space="preserve">Б.3.5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«Смешанная зона реновации перспективной высотной застройки» </w:t>
      </w:r>
      <w:r>
        <w:rPr>
          <w:rFonts w:ascii="Times New Roman" w:hAnsi="Times New Roman" w:cs="Times New Roman"/>
          <w:sz w:val="24"/>
          <w:szCs w:val="24"/>
        </w:rPr>
        <w:t xml:space="preserve">и расположенных в границах зон с особыми условиями использования территории, устанавливаются в соответствии с приложением к части 2 «Градостроительные регламенты» Правил землепользования и застройки города Челябинска</w:t>
      </w:r>
      <w:r>
        <w:rPr>
          <w:rFonts w:ascii="Times New Roman" w:hAnsi="Times New Roman" w:cs="Times New Roman"/>
          <w:sz w:val="24"/>
          <w:szCs w:val="24"/>
        </w:rPr>
        <w:t xml:space="preserve">, утвержденных </w:t>
      </w:r>
      <w:r>
        <w:rPr>
          <w:rFonts w:ascii="Times New Roman" w:hAnsi="Times New Roman" w:cs="Times New Roman"/>
          <w:sz w:val="24"/>
          <w:szCs w:val="24"/>
        </w:rPr>
        <w:t xml:space="preserve">решением Челябинской городской Думы от 29.08.2023 № 41/23 (далее – Правил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случае если земельный участо</w:t>
      </w:r>
      <w:r>
        <w:rPr>
          <w:rFonts w:ascii="Times New Roman" w:hAnsi="Times New Roman" w:cs="Times New Roman"/>
          <w:sz w:val="24"/>
          <w:szCs w:val="24"/>
        </w:rPr>
        <w:t xml:space="preserve">к, на котором планируется строительство (реконструкция) объекта капитального строительства, находится в границах территорий, предусматривающих требования к архитектурно-градостроительному облику объектов капитального строительства в соответствии частью 3.2</w:t>
      </w:r>
      <w:bookmarkStart w:id="4" w:name="_GoBack"/>
      <w:r/>
      <w:bookmarkEnd w:id="4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«Карта территории регулирования архитектурно-градостроительного облика» Правил</w:t>
      </w:r>
      <w:r>
        <w:rPr>
          <w:rFonts w:ascii="Times New Roman" w:hAnsi="Times New Roman" w:cs="Times New Roman"/>
          <w:sz w:val="24"/>
          <w:szCs w:val="24"/>
        </w:rPr>
        <w:t xml:space="preserve">, на такой объект ра</w:t>
      </w:r>
      <w:r>
        <w:rPr>
          <w:rFonts w:ascii="Times New Roman" w:hAnsi="Times New Roman" w:cs="Times New Roman"/>
          <w:sz w:val="24"/>
          <w:szCs w:val="24"/>
        </w:rPr>
        <w:t xml:space="preserve">спространяются требования к архитектурно-градостроительному облику объектов капитального строительства, установленные разделом 4 «Требования к архитектурно-градостроительному облику объектов капитального строительства» части 2 «Градостроительные регламенты</w:t>
      </w:r>
      <w:r>
        <w:rPr>
          <w:rFonts w:ascii="Times New Roman" w:hAnsi="Times New Roman" w:cs="Times New Roman"/>
          <w:sz w:val="24"/>
          <w:szCs w:val="24"/>
        </w:rPr>
        <w:t xml:space="preserve">» Правил.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</w:t>
      </w:r>
      <w:r>
        <w:rPr>
          <w:rFonts w:ascii="Times New Roman" w:hAnsi="Times New Roman" w:cs="Times New Roman"/>
          <w:sz w:val="24"/>
        </w:rPr>
        <w:t xml:space="preserve">ачальник Управления </w:t>
      </w:r>
      <w:r>
        <w:rPr>
          <w:rFonts w:ascii="Times New Roman" w:hAnsi="Times New Roman" w:cs="Times New Roman"/>
          <w:sz w:val="24"/>
        </w:rPr>
      </w:r>
    </w:p>
    <w:p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 архитектурно-градостроительному проектированию</w:t>
      </w:r>
      <w:r>
        <w:rPr>
          <w:rFonts w:ascii="Times New Roman" w:hAnsi="Times New Roman" w:cs="Times New Roman"/>
          <w:sz w:val="24"/>
        </w:rPr>
      </w:r>
    </w:p>
    <w:p>
      <w:pPr>
        <w:spacing w:after="0"/>
        <w:rPr>
          <w:sz w:val="24"/>
        </w:rPr>
      </w:pPr>
      <w:r>
        <w:rPr>
          <w:rFonts w:ascii="Times New Roman" w:hAnsi="Times New Roman" w:cs="Times New Roman"/>
          <w:sz w:val="24"/>
        </w:rPr>
        <w:t xml:space="preserve">города Челябинска</w:t>
      </w:r>
      <w:r>
        <w:rPr>
          <w:rFonts w:ascii="Times New Roman" w:hAnsi="Times New Roman" w:cs="Times New Roman"/>
          <w:sz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</w:t>
      </w:r>
      <w:r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</w:rPr>
        <w:t xml:space="preserve">Н. В. </w:t>
      </w:r>
      <w:r>
        <w:rPr>
          <w:rFonts w:ascii="Times New Roman" w:hAnsi="Times New Roman" w:cs="Times New Roman"/>
          <w:sz w:val="24"/>
        </w:rPr>
        <w:t xml:space="preserve">Чернушкина</w:t>
      </w:r>
      <w:r>
        <w:rPr>
          <w:sz w:val="24"/>
        </w:rPr>
      </w:r>
    </w:p>
    <w:sectPr>
      <w:headerReference w:type="default" r:id="rId8"/>
      <w:headerReference w:type="even" r:id="rId9"/>
      <w:footnotePr/>
      <w:endnotePr/>
      <w:type w:val="nextPage"/>
      <w:pgSz w:w="16838" w:h="11906" w:orient="landscape"/>
      <w:pgMar w:top="1701" w:right="678" w:bottom="993" w:left="1134" w:header="568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">
    <w:panose1 w:val="02000506000000020000"/>
  </w:font>
  <w:font w:name="Times New Roman">
    <w:panose1 w:val="02020603050405020304"/>
  </w:font>
  <w:font w:name="Microsoft YaHei">
    <w:panose1 w:val="020B0503020203020204"/>
  </w:font>
  <w:font w:name="Liberation Sans">
    <w:panose1 w:val="020B0604020202020204"/>
  </w:font>
  <w:font w:name="Tahoma">
    <w:panose1 w:val="020B0604030504040204"/>
  </w:font>
  <w:font w:name="Arial Unicode MS">
    <w:panose1 w:val="020B0506020203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9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3</w:t>
    </w:r>
    <w:r>
      <w:rPr>
        <w:rFonts w:ascii="Times New Roman" w:hAnsi="Times New Roman" w:cs="Times New Roman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89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4</w:t>
    </w:r>
    <w:r>
      <w:rPr>
        <w:rFonts w:ascii="Times New Roman" w:hAnsi="Times New Roman" w:cs="Times New Roman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3"/>
    <w:next w:val="67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7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3"/>
    <w:next w:val="67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7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3"/>
    <w:next w:val="67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7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3"/>
    <w:next w:val="67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7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3"/>
    <w:next w:val="67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7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3"/>
    <w:next w:val="67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7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3"/>
    <w:next w:val="67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7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3"/>
    <w:next w:val="67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7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3"/>
    <w:next w:val="67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7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3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3"/>
    <w:next w:val="67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74"/>
    <w:link w:val="34"/>
    <w:uiPriority w:val="10"/>
    <w:rPr>
      <w:sz w:val="48"/>
      <w:szCs w:val="48"/>
    </w:rPr>
  </w:style>
  <w:style w:type="paragraph" w:styleId="36">
    <w:name w:val="Subtitle"/>
    <w:basedOn w:val="673"/>
    <w:next w:val="67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74"/>
    <w:link w:val="36"/>
    <w:uiPriority w:val="11"/>
    <w:rPr>
      <w:sz w:val="24"/>
      <w:szCs w:val="24"/>
    </w:rPr>
  </w:style>
  <w:style w:type="paragraph" w:styleId="38">
    <w:name w:val="Quote"/>
    <w:basedOn w:val="673"/>
    <w:next w:val="67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3"/>
    <w:next w:val="67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74"/>
    <w:link w:val="689"/>
    <w:uiPriority w:val="99"/>
  </w:style>
  <w:style w:type="character" w:styleId="45">
    <w:name w:val="Footer Char"/>
    <w:basedOn w:val="674"/>
    <w:link w:val="690"/>
    <w:uiPriority w:val="99"/>
  </w:style>
  <w:style w:type="character" w:styleId="47">
    <w:name w:val="Caption Char"/>
    <w:basedOn w:val="684"/>
    <w:link w:val="690"/>
    <w:uiPriority w:val="99"/>
  </w:style>
  <w:style w:type="table" w:styleId="49">
    <w:name w:val="Table Grid Light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7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7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7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7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7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74"/>
    <w:uiPriority w:val="99"/>
    <w:unhideWhenUsed/>
    <w:rPr>
      <w:vertAlign w:val="superscript"/>
    </w:rPr>
  </w:style>
  <w:style w:type="paragraph" w:styleId="178">
    <w:name w:val="endnote text"/>
    <w:basedOn w:val="67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74"/>
    <w:uiPriority w:val="99"/>
    <w:semiHidden/>
    <w:unhideWhenUsed/>
    <w:rPr>
      <w:vertAlign w:val="superscript"/>
    </w:rPr>
  </w:style>
  <w:style w:type="paragraph" w:styleId="181">
    <w:name w:val="toc 1"/>
    <w:basedOn w:val="673"/>
    <w:next w:val="67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3"/>
    <w:next w:val="67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3"/>
    <w:next w:val="67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3"/>
    <w:next w:val="67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3"/>
    <w:next w:val="67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3"/>
    <w:next w:val="67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3"/>
    <w:next w:val="67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3"/>
    <w:next w:val="67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3"/>
    <w:next w:val="67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3"/>
    <w:next w:val="673"/>
    <w:uiPriority w:val="99"/>
    <w:unhideWhenUsed/>
    <w:pPr>
      <w:spacing w:after="0" w:afterAutospacing="0"/>
    </w:pPr>
  </w:style>
  <w:style w:type="paragraph" w:styleId="673" w:default="1">
    <w:name w:val="Normal"/>
    <w:qFormat/>
    <w:pPr>
      <w:spacing w:after="200" w:line="276" w:lineRule="auto"/>
    </w:p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character" w:styleId="677">
    <w:name w:val="Strong"/>
    <w:qFormat/>
    <w:rPr>
      <w:b/>
      <w:bCs/>
    </w:rPr>
  </w:style>
  <w:style w:type="character" w:styleId="678" w:customStyle="1">
    <w:name w:val="Верхний колонтитул Знак"/>
    <w:basedOn w:val="674"/>
    <w:uiPriority w:val="99"/>
    <w:qFormat/>
  </w:style>
  <w:style w:type="character" w:styleId="679" w:customStyle="1">
    <w:name w:val="Нижний колонтитул Знак"/>
    <w:basedOn w:val="674"/>
    <w:uiPriority w:val="99"/>
    <w:qFormat/>
  </w:style>
  <w:style w:type="character" w:styleId="680" w:customStyle="1">
    <w:name w:val="Текст выноски Знак"/>
    <w:basedOn w:val="674"/>
    <w:uiPriority w:val="99"/>
    <w:semiHidden/>
    <w:qFormat/>
    <w:rPr>
      <w:rFonts w:ascii="Tahoma" w:hAnsi="Tahoma" w:cs="Tahoma"/>
      <w:sz w:val="16"/>
      <w:szCs w:val="16"/>
    </w:rPr>
  </w:style>
  <w:style w:type="paragraph" w:styleId="681" w:customStyle="1">
    <w:name w:val="Заголовок1"/>
    <w:basedOn w:val="673"/>
    <w:next w:val="682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682">
    <w:name w:val="Body Text"/>
    <w:basedOn w:val="673"/>
    <w:pPr>
      <w:spacing w:after="140"/>
    </w:pPr>
  </w:style>
  <w:style w:type="paragraph" w:styleId="683">
    <w:name w:val="List"/>
    <w:basedOn w:val="682"/>
    <w:rPr>
      <w:rFonts w:cs="Arial Unicode MS"/>
    </w:rPr>
  </w:style>
  <w:style w:type="paragraph" w:styleId="684">
    <w:name w:val="Caption"/>
    <w:basedOn w:val="673"/>
    <w:qFormat/>
    <w:pPr>
      <w:spacing w:before="120" w:after="120"/>
      <w:suppressLineNumbers/>
    </w:pPr>
    <w:rPr>
      <w:rFonts w:cs="Arial Unicode MS"/>
      <w:i/>
      <w:iCs/>
      <w:sz w:val="24"/>
      <w:szCs w:val="24"/>
    </w:rPr>
  </w:style>
  <w:style w:type="paragraph" w:styleId="685">
    <w:name w:val="index heading"/>
    <w:basedOn w:val="673"/>
    <w:qFormat/>
    <w:pPr>
      <w:suppressLineNumbers/>
    </w:pPr>
    <w:rPr>
      <w:rFonts w:cs="Arial Unicode MS"/>
    </w:rPr>
  </w:style>
  <w:style w:type="paragraph" w:styleId="686" w:customStyle="1">
    <w:name w:val="Table Paragraph"/>
    <w:basedOn w:val="673"/>
    <w:qFormat/>
    <w:pPr>
      <w:spacing w:after="0" w:line="240" w:lineRule="auto"/>
      <w:widowControl w:val="off"/>
    </w:pPr>
    <w:rPr>
      <w:rFonts w:ascii="Times New Roman" w:hAnsi="Times New Roman" w:cs="Times New Roman" w:eastAsiaTheme="minorEastAsia"/>
      <w:sz w:val="24"/>
      <w:szCs w:val="24"/>
      <w:lang w:eastAsia="ru-RU"/>
    </w:rPr>
  </w:style>
  <w:style w:type="paragraph" w:styleId="687" w:customStyle="1">
    <w:name w:val="ConsPlusNormal"/>
    <w:qFormat/>
    <w:rPr>
      <w:rFonts w:ascii="Times New Roman" w:hAnsi="Times New Roman" w:eastAsia="SimSun" w:cs="Times New Roman"/>
      <w:sz w:val="26"/>
      <w:szCs w:val="26"/>
      <w:lang w:eastAsia="zh-CN" w:bidi="hi-IN"/>
    </w:rPr>
  </w:style>
  <w:style w:type="paragraph" w:styleId="688" w:customStyle="1">
    <w:name w:val="Верхний и нижний колонтитулы"/>
    <w:basedOn w:val="673"/>
    <w:qFormat/>
  </w:style>
  <w:style w:type="paragraph" w:styleId="689">
    <w:name w:val="Header"/>
    <w:basedOn w:val="6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90">
    <w:name w:val="Footer"/>
    <w:basedOn w:val="6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91">
    <w:name w:val="Balloon Text"/>
    <w:basedOn w:val="673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92">
    <w:name w:val="Table Grid"/>
    <w:basedOn w:val="675"/>
    <w:uiPriority w:val="59"/>
    <w:rPr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S. Breusova</dc:creator>
  <dc:language>ru-RU</dc:language>
  <cp:revision>10</cp:revision>
  <dcterms:created xsi:type="dcterms:W3CDTF">2026-04-15T04:22:00Z</dcterms:created>
  <dcterms:modified xsi:type="dcterms:W3CDTF">2026-04-23T12:25:24Z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