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 xml:space="preserve">4</w:t>
      </w:r>
      <w:r>
        <w:rPr>
          <w:lang w:val="ru-RU"/>
        </w:rPr>
      </w:r>
    </w:p>
    <w:p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  <w:r>
        <w:rPr>
          <w:rFonts w:ascii="Times New Roman" w:hAnsi="Times New Roman"/>
          <w:lang w:val="ru-RU"/>
        </w:rPr>
      </w:r>
    </w:p>
    <w:p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от 17.04.2026  № 6108</w:t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/>
          <w:lang w:val="ru-RU"/>
        </w:rPr>
        <w:t xml:space="preserve">                    </w:t>
      </w:r>
      <w:r>
        <w:rPr>
          <w:rFonts w:ascii="Times New Roman" w:hAnsi="Times New Roman"/>
          <w:lang w:val="ru-RU"/>
        </w:rPr>
        <w:t xml:space="preserve">для населения на </w:t>
      </w:r>
      <w:r>
        <w:rPr>
          <w:rFonts w:ascii="Times New Roman" w:hAnsi="Times New Roman"/>
          <w:lang w:val="ru-RU"/>
        </w:rPr>
        <w:t xml:space="preserve">территории </w:t>
      </w:r>
      <w:r>
        <w:rPr>
          <w:rFonts w:ascii="Times New Roman" w:hAnsi="Times New Roman"/>
          <w:lang w:val="ru-RU"/>
        </w:rPr>
        <w:t xml:space="preserve">не</w:t>
      </w:r>
      <w:r>
        <w:rPr>
          <w:rFonts w:ascii="Times New Roman" w:hAnsi="Times New Roman"/>
          <w:lang w:val="ru-RU"/>
        </w:rPr>
        <w:t xml:space="preserve">жилой застройки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пересечении улиц Академика Макеева</w:t>
      </w:r>
      <w:r>
        <w:rPr>
          <w:rFonts w:ascii="Times New Roman" w:hAnsi="Times New Roman"/>
          <w:lang w:val="ru-RU"/>
        </w:rPr>
        <w:t xml:space="preserve">,</w:t>
      </w:r>
      <w:r>
        <w:rPr>
          <w:rFonts w:ascii="Times New Roman" w:hAnsi="Times New Roman"/>
          <w:lang w:val="ru-RU"/>
        </w:rPr>
        <w:t xml:space="preserve">                Салавата Юлаева</w:t>
      </w:r>
      <w:r>
        <w:rPr>
          <w:rFonts w:ascii="Times New Roman" w:hAnsi="Times New Roman"/>
          <w:lang w:val="ru-RU"/>
        </w:rPr>
        <w:t xml:space="preserve">, Университетск</w:t>
      </w:r>
      <w:r>
        <w:rPr>
          <w:rFonts w:ascii="Times New Roman" w:hAnsi="Times New Roman"/>
          <w:lang w:val="ru-RU"/>
        </w:rPr>
        <w:t xml:space="preserve">ой</w:t>
      </w:r>
      <w:r>
        <w:rPr>
          <w:rFonts w:ascii="Times New Roman" w:hAnsi="Times New Roman"/>
          <w:lang w:val="ru-RU"/>
        </w:rPr>
        <w:t xml:space="preserve"> Набережн</w:t>
      </w:r>
      <w:r>
        <w:rPr>
          <w:rFonts w:ascii="Times New Roman" w:hAnsi="Times New Roman"/>
          <w:lang w:val="ru-RU"/>
        </w:rPr>
        <w:t xml:space="preserve">ой</w:t>
      </w:r>
      <w:bookmarkStart w:id="0" w:name="_GoBack"/>
      <w:r/>
      <w:bookmarkEnd w:id="0"/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Калининском р</w:t>
      </w:r>
      <w:r>
        <w:rPr>
          <w:rFonts w:ascii="Times New Roman" w:hAnsi="Times New Roman"/>
          <w:lang w:val="ru-RU"/>
        </w:rPr>
        <w:t xml:space="preserve">айоне города Челябинска</w:t>
      </w:r>
      <w:r>
        <w:rPr>
          <w:rFonts w:ascii="Times New Roman" w:hAnsi="Times New Roman"/>
          <w:lang w:val="ru-RU"/>
        </w:rPr>
      </w:r>
    </w:p>
    <w:p>
      <w:pPr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>
        <w:rPr>
          <w:rFonts w:ascii="Times New Roman" w:hAnsi="Times New Roman" w:cs="Times New Roman"/>
          <w:lang w:val="ru-RU"/>
        </w:rPr>
        <w:t xml:space="preserve">для населения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>
        <w:rPr>
          <w:rFonts w:ascii="Times New Roman" w:hAnsi="Times New Roman" w:cs="Times New Roman"/>
          <w:lang w:val="ru-RU"/>
        </w:rPr>
        <w:t xml:space="preserve"> (далее – КРТ)</w:t>
      </w:r>
      <w:r>
        <w:rPr>
          <w:rFonts w:ascii="Times New Roman" w:hAnsi="Times New Roman" w:cs="Times New Roman"/>
          <w:lang w:val="ru-RU"/>
        </w:rPr>
        <w:t xml:space="preserve">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1) </w:t>
      </w:r>
      <w:r>
        <w:rPr>
          <w:rFonts w:ascii="Times New Roman" w:hAnsi="Times New Roman" w:cs="Times New Roman"/>
          <w:lang w:val="ru-RU"/>
        </w:rPr>
        <w:t xml:space="preserve">п</w:t>
      </w:r>
      <w:r>
        <w:rPr>
          <w:rFonts w:ascii="Times New Roman" w:hAnsi="Times New Roman" w:cs="Times New Roman"/>
          <w:lang w:val="ru-RU"/>
        </w:rPr>
        <w:t xml:space="preserve">ри размещении отдельно стоящих детских дошкольных учреждений и детских образовательных учреждений площадь земельных </w:t>
      </w:r>
      <w:r>
        <w:rPr>
          <w:rFonts w:ascii="Times New Roman" w:hAnsi="Times New Roman" w:cs="Times New Roman"/>
          <w:lang w:val="ru-RU"/>
        </w:rPr>
        <w:t xml:space="preserve">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20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дошкольных учреждений;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– </w:t>
      </w:r>
      <w:r>
        <w:rPr>
          <w:rFonts w:ascii="Times New Roman" w:hAnsi="Times New Roman" w:cs="Times New Roman"/>
          <w:lang w:val="ru-RU"/>
        </w:rPr>
        <w:t xml:space="preserve">40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для детских образовательных учреждений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2) 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ткрытые плоскостные автостоянки не могут занимать более 30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от площади территориальной зоны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3) 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беспеченность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-местами принимается </w:t>
      </w:r>
      <w:r>
        <w:rPr>
          <w:rFonts w:ascii="Times New Roman" w:hAnsi="Times New Roman" w:cs="Times New Roman"/>
          <w:lang w:val="ru-RU"/>
        </w:rPr>
        <w:t xml:space="preserve">в расчете</w:t>
      </w:r>
      <w:r>
        <w:rPr>
          <w:rFonts w:ascii="Times New Roman" w:hAnsi="Times New Roman" w:cs="Times New Roman"/>
          <w:lang w:val="ru-RU"/>
        </w:rPr>
        <w:t xml:space="preserve"> 360 </w:t>
      </w:r>
      <w:r>
        <w:rPr>
          <w:rFonts w:ascii="Times New Roman" w:hAnsi="Times New Roman" w:cs="Times New Roman"/>
          <w:lang w:val="ru-RU"/>
        </w:rPr>
        <w:t xml:space="preserve">м</w:t>
      </w:r>
      <w:r>
        <w:rPr>
          <w:rFonts w:ascii="Times New Roman" w:hAnsi="Times New Roman" w:cs="Times New Roman"/>
          <w:lang w:val="ru-RU"/>
        </w:rPr>
        <w:t xml:space="preserve">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 / 1000 человек. </w:t>
      </w:r>
      <w:r>
        <w:rPr>
          <w:rFonts w:ascii="Times New Roman" w:hAnsi="Times New Roman" w:cs="Times New Roman"/>
          <w:lang w:val="ru-RU"/>
        </w:rPr>
      </w:r>
    </w:p>
    <w:p>
      <w:pPr>
        <w:pStyle w:val="710"/>
        <w:spacing w:line="240" w:lineRule="auto"/>
        <w:tabs>
          <w:tab w:val="left" w:pos="709" w:leader="none"/>
          <w:tab w:val="left" w:pos="993" w:leader="none"/>
        </w:tabs>
      </w:pPr>
      <w:r>
        <w:rPr>
          <w:rStyle w:val="709"/>
          <w:rFonts w:eastAsia="Times New Roman"/>
          <w:color w:val="000000"/>
          <w:lang w:eastAsia="ar-SA"/>
        </w:rPr>
        <w:t xml:space="preserve">Возможно сокращение данного показателя до 300 </w:t>
      </w:r>
      <w:r>
        <w:rPr>
          <w:rStyle w:val="709"/>
          <w:rFonts w:eastAsia="Times New Roman"/>
          <w:color w:val="000000"/>
          <w:lang w:eastAsia="ar-SA"/>
        </w:rPr>
        <w:t xml:space="preserve">машино</w:t>
      </w:r>
      <w:r>
        <w:rPr>
          <w:rStyle w:val="709"/>
          <w:rFonts w:eastAsia="Times New Roman"/>
          <w:color w:val="000000"/>
          <w:lang w:eastAsia="ar-SA"/>
        </w:rPr>
        <w:t xml:space="preserve">-мест </w:t>
      </w:r>
      <w:r>
        <w:rPr>
          <w:rStyle w:val="709"/>
          <w:rFonts w:eastAsia="Times New Roman"/>
          <w:color w:val="000000"/>
          <w:lang w:eastAsia="ar-SA"/>
        </w:rPr>
        <w:t xml:space="preserve">/</w:t>
      </w:r>
      <w:r>
        <w:rPr>
          <w:rStyle w:val="709"/>
          <w:rFonts w:eastAsia="Times New Roman"/>
          <w:color w:val="000000"/>
          <w:lang w:eastAsia="ar-SA"/>
        </w:rPr>
        <w:t xml:space="preserve"> </w:t>
      </w:r>
      <w:r>
        <w:rPr>
          <w:rStyle w:val="709"/>
          <w:rFonts w:eastAsia="Times New Roman"/>
          <w:color w:val="000000"/>
          <w:lang w:eastAsia="ar-SA"/>
        </w:rPr>
        <w:t xml:space="preserve">1000 человек </w:t>
      </w:r>
      <w:r>
        <w:rPr>
          <w:rStyle w:val="709"/>
          <w:rFonts w:eastAsia="Times New Roman"/>
          <w:color w:val="000000"/>
          <w:lang w:eastAsia="ar-SA"/>
        </w:rPr>
        <w:t xml:space="preserve">                   </w:t>
      </w:r>
      <w:r>
        <w:rPr>
          <w:rStyle w:val="709"/>
          <w:rFonts w:eastAsia="Times New Roman"/>
          <w:color w:val="000000"/>
          <w:lang w:eastAsia="ar-SA"/>
        </w:rPr>
        <w:t xml:space="preserve">при наличии </w:t>
      </w:r>
      <w:r>
        <w:rPr>
          <w:rStyle w:val="709"/>
          <w:rFonts w:eastAsia="Times New Roman"/>
          <w:color w:val="000000"/>
          <w:lang w:eastAsia="ar-SA"/>
        </w:rPr>
        <w:t xml:space="preserve">остановочных пунктов скоростного или выделенного маршрутного транспорта в радиусе 10-минутной пешеходной доступности от территории, подлежащей комплексному развитию</w:t>
      </w:r>
      <w:r>
        <w:t xml:space="preserve">;</w:t>
      </w:r>
      <w:r/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4) </w:t>
      </w:r>
      <w:r>
        <w:rPr>
          <w:rFonts w:ascii="Times New Roman" w:hAnsi="Times New Roman" w:cs="Times New Roman"/>
          <w:lang w:val="ru-RU"/>
        </w:rPr>
        <w:t xml:space="preserve">в</w:t>
      </w:r>
      <w:r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70 %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 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размещать на территориях общего пользования уличной-дорожной сети                     не более 10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% от расчетного количества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условии отсутствия жилых помещений на первых этажах зданий, расположенных вдоль красных линий, территорий общего пользования.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6) </w:t>
      </w:r>
      <w:r>
        <w:rPr>
          <w:rFonts w:ascii="Times New Roman" w:hAnsi="Times New Roman" w:cs="Times New Roman"/>
          <w:lang w:val="ru-RU"/>
        </w:rPr>
        <w:t xml:space="preserve">д</w:t>
      </w:r>
      <w:r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r>
        <w:rPr>
          <w:rFonts w:ascii="Times New Roman" w:hAnsi="Times New Roman" w:cs="Times New Roman"/>
          <w:lang w:val="ru-RU"/>
        </w:rPr>
        <w:t xml:space="preserve">машино</w:t>
      </w:r>
      <w:r>
        <w:rPr>
          <w:rFonts w:ascii="Times New Roman" w:hAnsi="Times New Roman" w:cs="Times New Roman"/>
          <w:lang w:val="ru-RU"/>
        </w:rPr>
        <w:t xml:space="preserve">-местами для жилья и коммерции, расположенных в одном объекте капитального строительства</w:t>
      </w:r>
      <w:r>
        <w:rPr>
          <w:rFonts w:ascii="Times New Roman" w:hAnsi="Times New Roman" w:cs="Times New Roman"/>
          <w:lang w:val="ru-RU"/>
        </w:rPr>
        <w:t xml:space="preserve">;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7) </w:t>
      </w:r>
      <w:r>
        <w:rPr>
          <w:rFonts w:ascii="Times New Roman" w:hAnsi="Times New Roman" w:cs="Times New Roman"/>
          <w:lang w:val="ru-RU"/>
        </w:rPr>
        <w:t xml:space="preserve">о</w:t>
      </w:r>
      <w:r>
        <w:rPr>
          <w:rFonts w:ascii="Times New Roman" w:hAnsi="Times New Roman" w:cs="Times New Roman"/>
          <w:lang w:val="ru-RU"/>
        </w:rPr>
        <w:t xml:space="preserve">бъекты социальной и коммунальной инфраструктур:</w:t>
      </w:r>
      <w:r>
        <w:rPr>
          <w:rFonts w:ascii="Times New Roman" w:hAnsi="Times New Roman" w:cs="Times New Roman"/>
          <w:lang w:val="ru-RU"/>
        </w:rPr>
      </w:r>
    </w:p>
    <w:tbl>
      <w:tblPr>
        <w:tblW w:w="0" w:type="auto"/>
        <w:jc w:val="center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Наименование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показателя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Единица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измерения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Минимально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допустимый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обеспеченности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Максимально допустимый уровень территориальной доступности, м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общеобразовательные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145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800 или 15-ти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детские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дошкольные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амбулаторно- поликлиническая сеть, диспансеры без стационара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посещение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смену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менее</w:t>
            </w:r>
            <w:r>
              <w:rPr>
                <w:rFonts w:ascii="Times New Roman" w:hAnsi="Times New Roman" w:cs="Times New Roman"/>
              </w:rPr>
              <w:t xml:space="preserve"> 18,15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1000 или 15-ти минутная транспортная доступность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птеки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учреждение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 xml:space="preserve">тыс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объекты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торговли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кв</w:t>
            </w:r>
            <w:r>
              <w:rPr>
                <w:rFonts w:ascii="Times New Roman" w:hAnsi="Times New Roman" w:cs="Times New Roman"/>
              </w:rPr>
              <w:t xml:space="preserve">. м </w:t>
            </w:r>
            <w:r>
              <w:rPr>
                <w:rFonts w:ascii="Times New Roman" w:hAnsi="Times New Roman" w:cs="Times New Roman"/>
              </w:rPr>
              <w:t xml:space="preserve">торговой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площади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552-580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питания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посадочное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предприятия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бытового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населения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рабочее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место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</w:t>
            </w:r>
            <w:r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 xml:space="preserve">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jc w:val="center"/>
          <w:trHeight w:val="23"/>
        </w:trPr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8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отделения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связи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tcW w:w="226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объект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 9 – 25 тыс. жителей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(по категориям)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500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</w:tbl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Н</w:t>
      </w:r>
      <w:r>
        <w:rPr>
          <w:rFonts w:ascii="Times New Roman" w:hAnsi="Times New Roman" w:cs="Times New Roman"/>
          <w:spacing w:val="-6"/>
          <w:lang w:val="ru-RU"/>
        </w:rPr>
        <w:t xml:space="preserve">ачальник Управления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по архитектурно-градостроительному </w:t>
      </w:r>
      <w:r>
        <w:rPr>
          <w:rFonts w:ascii="Times New Roman" w:hAnsi="Times New Roman" w:cs="Times New Roman"/>
          <w:spacing w:val="-6"/>
          <w:lang w:val="ru-RU"/>
        </w:rPr>
        <w:br/>
        <w:t xml:space="preserve">проектированию города Челябинска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spacing w:val="-6"/>
          <w:lang w:val="ru-RU"/>
        </w:rPr>
        <w:t xml:space="preserve">          </w:t>
      </w:r>
      <w:r>
        <w:rPr>
          <w:rFonts w:ascii="Times New Roman" w:hAnsi="Times New Roman" w:cs="Times New Roman"/>
          <w:spacing w:val="-6"/>
          <w:lang w:val="ru-RU"/>
        </w:rPr>
        <w:t xml:space="preserve">          </w:t>
      </w:r>
      <w:r>
        <w:rPr>
          <w:rFonts w:ascii="Times New Roman" w:hAnsi="Times New Roman" w:cs="Times New Roman"/>
          <w:spacing w:val="-6"/>
          <w:lang w:val="ru-RU"/>
        </w:rPr>
        <w:t xml:space="preserve">Н. В. Чернушкина</w:t>
      </w:r>
      <w:r>
        <w:rPr>
          <w:lang w:val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26" w:right="567" w:bottom="720" w:left="1701" w:header="426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Wingdings">
    <w:panose1 w:val="05010000000000000000"/>
  </w:font>
  <w:font w:name="Microsoft YaHei">
    <w:panose1 w:val="020B0503020203020204"/>
  </w:font>
  <w:font w:name="Times New Roman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75690378"/>
      <w:docPartObj>
        <w:docPartGallery w:val="Page Numbers (Top of Page)"/>
        <w:docPartUnique w:val="true"/>
      </w:docPartObj>
      <w:rPr/>
    </w:sdtPr>
    <w:sdtContent>
      <w:p>
        <w:pPr>
          <w:pStyle w:val="70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70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705"/>
    <w:uiPriority w:val="99"/>
  </w:style>
  <w:style w:type="character" w:styleId="45">
    <w:name w:val="Footer Char"/>
    <w:basedOn w:val="678"/>
    <w:link w:val="707"/>
    <w:uiPriority w:val="99"/>
  </w:style>
  <w:style w:type="character" w:styleId="47">
    <w:name w:val="Caption Char"/>
    <w:basedOn w:val="697"/>
    <w:link w:val="707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>
    <w:name w:val="Strong"/>
    <w:qFormat/>
    <w:rPr>
      <w:b/>
      <w:bCs/>
    </w:rPr>
  </w:style>
  <w:style w:type="character" w:styleId="682" w:customStyle="1">
    <w:name w:val="WW_CharLFO1LVL1"/>
    <w:qFormat/>
    <w:rPr>
      <w:rFonts w:ascii="Symbol" w:hAnsi="Symbol" w:eastAsia="SimSun" w:cs="Times New Roman"/>
    </w:rPr>
  </w:style>
  <w:style w:type="character" w:styleId="683" w:customStyle="1">
    <w:name w:val="WW_CharLFO1LVL2"/>
    <w:qFormat/>
    <w:rPr>
      <w:rFonts w:ascii="Courier New" w:hAnsi="Courier New" w:cs="Courier New"/>
    </w:rPr>
  </w:style>
  <w:style w:type="character" w:styleId="684" w:customStyle="1">
    <w:name w:val="WW_CharLFO1LVL3"/>
    <w:qFormat/>
    <w:rPr>
      <w:rFonts w:ascii="Wingdings" w:hAnsi="Wingdings"/>
    </w:rPr>
  </w:style>
  <w:style w:type="character" w:styleId="685" w:customStyle="1">
    <w:name w:val="WW_CharLFO1LVL4"/>
    <w:qFormat/>
    <w:rPr>
      <w:rFonts w:ascii="Symbol" w:hAnsi="Symbol"/>
    </w:rPr>
  </w:style>
  <w:style w:type="character" w:styleId="686" w:customStyle="1">
    <w:name w:val="WW_CharLFO1LVL5"/>
    <w:qFormat/>
    <w:rPr>
      <w:rFonts w:ascii="Courier New" w:hAnsi="Courier New" w:cs="Courier New"/>
    </w:rPr>
  </w:style>
  <w:style w:type="character" w:styleId="687" w:customStyle="1">
    <w:name w:val="WW_CharLFO1LVL6"/>
    <w:qFormat/>
    <w:rPr>
      <w:rFonts w:ascii="Wingdings" w:hAnsi="Wingdings"/>
    </w:rPr>
  </w:style>
  <w:style w:type="character" w:styleId="688" w:customStyle="1">
    <w:name w:val="WW_CharLFO1LVL7"/>
    <w:qFormat/>
    <w:rPr>
      <w:rFonts w:ascii="Symbol" w:hAnsi="Symbol"/>
    </w:rPr>
  </w:style>
  <w:style w:type="character" w:styleId="689" w:customStyle="1">
    <w:name w:val="WW_CharLFO1LVL8"/>
    <w:qFormat/>
    <w:rPr>
      <w:rFonts w:ascii="Courier New" w:hAnsi="Courier New" w:cs="Courier New"/>
    </w:rPr>
  </w:style>
  <w:style w:type="character" w:styleId="690" w:customStyle="1">
    <w:name w:val="WW_CharLFO1LVL9"/>
    <w:qFormat/>
    <w:rPr>
      <w:rFonts w:ascii="Wingdings" w:hAnsi="Wingdings"/>
    </w:rPr>
  </w:style>
  <w:style w:type="character" w:styleId="691" w:customStyle="1">
    <w:name w:val="Текст выноски Знак"/>
    <w:basedOn w:val="678"/>
    <w:uiPriority w:val="99"/>
    <w:semiHidden/>
    <w:qFormat/>
    <w:rPr>
      <w:rFonts w:ascii="Tahoma" w:hAnsi="Tahoma" w:eastAsia="SimSun" w:cs="Mangal"/>
      <w:sz w:val="16"/>
      <w:szCs w:val="14"/>
      <w:lang w:val="en-US" w:eastAsia="zh-CN" w:bidi="hi-IN"/>
    </w:rPr>
  </w:style>
  <w:style w:type="paragraph" w:styleId="692" w:customStyle="1">
    <w:name w:val="Заголовок1"/>
    <w:basedOn w:val="677"/>
    <w:next w:val="693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93">
    <w:name w:val="Body Text"/>
    <w:basedOn w:val="677"/>
    <w:pPr>
      <w:spacing w:after="140" w:line="288" w:lineRule="auto"/>
    </w:pPr>
  </w:style>
  <w:style w:type="paragraph" w:styleId="694">
    <w:name w:val="List"/>
    <w:basedOn w:val="693"/>
  </w:style>
  <w:style w:type="paragraph" w:styleId="695" w:customStyle="1">
    <w:name w:val="Название объекта1"/>
    <w:basedOn w:val="677"/>
    <w:qFormat/>
    <w:pPr>
      <w:spacing w:before="120" w:after="120"/>
      <w:suppressLineNumbers/>
    </w:pPr>
    <w:rPr>
      <w:rFonts w:cs="Arial"/>
      <w:i/>
      <w:iCs/>
    </w:rPr>
  </w:style>
  <w:style w:type="paragraph" w:styleId="696">
    <w:name w:val="index heading"/>
    <w:basedOn w:val="677"/>
    <w:qFormat/>
    <w:pPr>
      <w:suppressLineNumbers/>
    </w:pPr>
    <w:rPr>
      <w:rFonts w:cs="Arial"/>
    </w:rPr>
  </w:style>
  <w:style w:type="paragraph" w:styleId="697">
    <w:name w:val="Caption"/>
    <w:basedOn w:val="677"/>
    <w:qFormat/>
    <w:pPr>
      <w:spacing w:before="120" w:after="120"/>
      <w:suppressLineNumbers/>
    </w:pPr>
    <w:rPr>
      <w:i/>
      <w:iCs/>
    </w:rPr>
  </w:style>
  <w:style w:type="paragraph" w:styleId="698" w:customStyle="1">
    <w:name w:val="Указатель1"/>
    <w:basedOn w:val="677"/>
    <w:qFormat/>
    <w:pPr>
      <w:suppressLineNumbers/>
    </w:pPr>
  </w:style>
  <w:style w:type="paragraph" w:styleId="699" w:customStyle="1">
    <w:name w:val="ConsPlusNormal"/>
    <w:qFormat/>
    <w:rPr>
      <w:rFonts w:eastAsia="SimSun"/>
      <w:sz w:val="26"/>
      <w:szCs w:val="26"/>
      <w:lang w:eastAsia="zh-CN" w:bidi="hi-IN"/>
    </w:rPr>
  </w:style>
  <w:style w:type="paragraph" w:styleId="700" w:customStyle="1">
    <w:name w:val="Содержимое таблицы"/>
    <w:basedOn w:val="677"/>
    <w:qFormat/>
    <w:pPr>
      <w:widowControl w:val="off"/>
      <w:suppressLineNumbers/>
    </w:pPr>
  </w:style>
  <w:style w:type="paragraph" w:styleId="701" w:customStyle="1">
    <w:name w:val="Заголовок таблицы"/>
    <w:basedOn w:val="700"/>
    <w:qFormat/>
    <w:pPr>
      <w:jc w:val="center"/>
    </w:pPr>
    <w:rPr>
      <w:b/>
      <w:bCs/>
    </w:rPr>
  </w:style>
  <w:style w:type="paragraph" w:styleId="702" w:customStyle="1">
    <w:name w:val="Верхний и нижний колонтитулы"/>
    <w:basedOn w:val="67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03" w:customStyle="1">
    <w:name w:val="Верхний колонтитул1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704">
    <w:name w:val="Balloon Text"/>
    <w:basedOn w:val="677"/>
    <w:uiPriority w:val="99"/>
    <w:semiHidden/>
    <w:unhideWhenUsed/>
    <w:qFormat/>
    <w:rPr>
      <w:rFonts w:ascii="Tahoma" w:hAnsi="Tahoma"/>
      <w:sz w:val="16"/>
      <w:szCs w:val="14"/>
    </w:rPr>
  </w:style>
  <w:style w:type="paragraph" w:styleId="705">
    <w:name w:val="Header"/>
    <w:basedOn w:val="677"/>
    <w:link w:val="706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06" w:customStyle="1">
    <w:name w:val="Верхний колонтитул Знак"/>
    <w:basedOn w:val="678"/>
    <w:link w:val="705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707">
    <w:name w:val="Footer"/>
    <w:basedOn w:val="677"/>
    <w:link w:val="708"/>
    <w:uiPriority w:val="99"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708" w:customStyle="1">
    <w:name w:val="Нижний колонтитул Знак"/>
    <w:basedOn w:val="678"/>
    <w:link w:val="707"/>
    <w:uiPriority w:val="99"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character" w:styleId="709" w:customStyle="1">
    <w:name w:val="Основной текст (6) + 12 pt"/>
    <w:rPr>
      <w:rFonts w:ascii="Times New Roman" w:hAnsi="Times New Roman" w:cs="Times New Roman"/>
      <w:spacing w:val="0"/>
      <w:sz w:val="24"/>
    </w:rPr>
  </w:style>
  <w:style w:type="paragraph" w:styleId="710" w:customStyle="1">
    <w:name w:val="НИР текст"/>
    <w:basedOn w:val="677"/>
    <w:pPr>
      <w:ind w:firstLine="709"/>
      <w:jc w:val="both"/>
      <w:spacing w:line="360" w:lineRule="auto"/>
    </w:pPr>
    <w:rPr>
      <w:rFonts w:ascii="Times New Roman" w:hAnsi="Times New Roman" w:eastAsia="Calibri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dc:language>ru-RU</dc:language>
  <cp:revision>30</cp:revision>
  <dcterms:created xsi:type="dcterms:W3CDTF">2025-03-18T07:11:00Z</dcterms:created>
  <dcterms:modified xsi:type="dcterms:W3CDTF">2026-04-23T12:25:54Z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