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  <w:lang w:val="ru-RU"/>
        </w:rPr>
        <w:t xml:space="preserve">Приложение 2 </w:t>
      </w:r>
      <w:r>
        <w:rPr>
          <w:rFonts w:ascii="Times New Roman" w:hAnsi="Times New Roman" w:cs="Times New Roman"/>
          <w:lang w:val="ru-RU"/>
        </w:rPr>
      </w:r>
    </w:p>
    <w:p>
      <w:pPr>
        <w:jc w:val="right"/>
        <w:rPr>
          <w:rFonts w:ascii="Times New Roman" w:hAnsi="Times New Roman" w:cs="Times New Roman"/>
          <w:sz w:val="16"/>
          <w:lang w:val="ru-RU"/>
        </w:rPr>
      </w:pPr>
      <w:r>
        <w:rPr>
          <w:rFonts w:ascii="Times New Roman" w:hAnsi="Times New Roman" w:cs="Times New Roman"/>
          <w:sz w:val="16"/>
          <w:lang w:val="ru-RU"/>
        </w:rPr>
      </w:r>
      <w:r>
        <w:rPr>
          <w:rFonts w:ascii="Times New Roman" w:hAnsi="Times New Roman" w:cs="Times New Roman"/>
          <w:sz w:val="16"/>
          <w:lang w:val="ru-RU"/>
        </w:rPr>
      </w:r>
    </w:p>
    <w:p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к распоряжению Администрации города </w:t>
      </w:r>
      <w:r>
        <w:rPr>
          <w:rFonts w:ascii="Times New Roman" w:hAnsi="Times New Roman" w:cs="Times New Roman"/>
          <w:lang w:val="ru-RU"/>
        </w:rPr>
      </w:r>
    </w:p>
    <w:p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 xml:space="preserve">от 21.07.2026 № 11786</w:t>
      </w:r>
      <w:r>
        <w:rPr>
          <w:rFonts w:ascii="Times New Roman" w:hAnsi="Times New Roman" w:cs="Times New Roman"/>
          <w:lang w:val="ru-RU"/>
        </w:rPr>
      </w:r>
    </w:p>
    <w:p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Перечень земельных участков и объектов капитального строительства, расположенных в границах комплексного развития территории неж</w:t>
      </w:r>
      <w:r>
        <w:rPr>
          <w:rFonts w:ascii="Times New Roman" w:hAnsi="Times New Roman" w:cs="Times New Roman"/>
          <w:color w:val="000000"/>
          <w:lang w:val="ru-RU"/>
        </w:rPr>
        <w:t xml:space="preserve">илой застройки</w:t>
      </w:r>
      <w:r>
        <w:rPr>
          <w:rFonts w:ascii="Times New Roman" w:hAnsi="Times New Roman" w:cs="Times New Roman"/>
          <w:color w:val="000000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 xml:space="preserve">расположенной </w:t>
      </w:r>
      <w:r>
        <w:rPr>
          <w:rFonts w:ascii="Times New Roman" w:hAnsi="Times New Roman" w:cs="Times New Roman"/>
          <w:color w:val="000000"/>
          <w:lang w:val="ru-RU"/>
        </w:rPr>
        <w:t xml:space="preserve">    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в микрорайоне, ограниченном улицами </w:t>
      </w:r>
      <w:r>
        <w:rPr>
          <w:rFonts w:ascii="Times New Roman" w:hAnsi="Times New Roman" w:cs="Times New Roman"/>
          <w:color w:val="000000"/>
          <w:lang w:val="ru-RU"/>
        </w:rPr>
        <w:t xml:space="preserve">Елькина</w:t>
      </w:r>
      <w:r>
        <w:rPr>
          <w:rFonts w:ascii="Times New Roman" w:hAnsi="Times New Roman" w:cs="Times New Roman"/>
          <w:color w:val="000000"/>
          <w:lang w:val="ru-RU"/>
        </w:rPr>
        <w:t xml:space="preserve">, Тимирязева, </w:t>
      </w:r>
      <w:r>
        <w:rPr>
          <w:rFonts w:ascii="Times New Roman" w:hAnsi="Times New Roman" w:cs="Times New Roman"/>
          <w:color w:val="000000"/>
          <w:lang w:val="ru-RU"/>
        </w:rPr>
        <w:t xml:space="preserve">Цвиллинга</w:t>
      </w:r>
      <w:r>
        <w:rPr>
          <w:rFonts w:ascii="Times New Roman" w:hAnsi="Times New Roman" w:cs="Times New Roman"/>
          <w:color w:val="00000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lang w:val="ru-RU"/>
        </w:rPr>
        <w:t xml:space="preserve">Овчинникова</w:t>
      </w:r>
      <w:r>
        <w:rPr>
          <w:rFonts w:ascii="Times New Roman" w:hAnsi="Times New Roman" w:cs="Times New Roman"/>
          <w:color w:val="000000"/>
          <w:lang w:val="ru-RU"/>
        </w:rPr>
        <w:t xml:space="preserve"> (территория № 1)</w:t>
      </w:r>
      <w:r>
        <w:rPr>
          <w:rFonts w:ascii="Times New Roman" w:hAnsi="Times New Roman" w:cs="Times New Roman"/>
          <w:color w:val="000000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 xml:space="preserve">в Советском районе города Челябинска</w:t>
      </w:r>
      <w:r>
        <w:rPr>
          <w:rFonts w:ascii="Times New Roman" w:hAnsi="Times New Roman" w:cs="Times New Roman"/>
          <w:lang w:val="ru-RU"/>
        </w:rPr>
      </w:r>
    </w:p>
    <w:p>
      <w:pPr>
        <w:ind w:firstLine="68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035"/>
        <w:gridCol w:w="1969"/>
        <w:gridCol w:w="1992"/>
        <w:gridCol w:w="1616"/>
        <w:gridCol w:w="1636"/>
      </w:tblGrid>
      <w:tr>
        <w:tblPrEx/>
        <w:trPr>
          <w:jc w:val="center"/>
          <w:tblHeader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pStyle w:val="69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справочно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земельного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участка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Объект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капитального строительства на земельном участке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сносе/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реконструкции объектов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капитального строительства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Кадастровый номер объекта недвижимого имущества, расположенного на земельном участке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560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65А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комплекс технического обслуживания с пунктом общественного питания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444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8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нутриквартальная сеть водопровода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000000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66782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**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 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3025*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3027*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5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торгово-сервисный центр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281*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6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3089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от т. 4-17 до наружной стены здания № 77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по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74:36:0408001:48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(в составе ЕЗП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коммунального хозяйства – тепловые сети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9228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Кирова, 130,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лит Б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склад № 19)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3081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нежилые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помещения: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3123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3124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пристроенное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здание (часть)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от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т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4-10 до т. 4-17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коммунального хозяйства -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10293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81-77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электроэнергетики – КЛ 6 кВ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ТП 1137 –ТП 1145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10153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Орджоникидзе,  43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сооружение теплотрассы – тепловые сети к производственной базе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5984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ind w:left="-78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ind w:left="-78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ЕЗП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74:36:0408001:47)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пристроенное здание (часть)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42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81А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административное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3715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82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точка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выбоя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/корма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3257*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74:36:0408001:68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овощехранилище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3074*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73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74:36:0408001:69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весовая контора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3092*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6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ind w:left="-7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74:36:0408001:73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(в составе ЕЗП 74:36:0408001:72)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производственной базы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53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 Кирова, 130Д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74:36:0408001:74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(в составе ЕЗП 74:36:0408001:72)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производственной базы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67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границах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Тимирязева 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Цвиллинга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Орджоникидзе – ул. Кирова,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дома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64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ул. Орджоникидзе до врезки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коллектор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ул.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Либкнехта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водоотведения –наружные сети канализации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67129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96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лит. Ц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74:36:0408001:75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74:36:0408001:78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трансформаторная подстанция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1209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3080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67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ул.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65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74:36:0408001:79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(в составе ЕЗП 74:36:0408001:39)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нежилые здания –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комплекс технического облуживания автомобилей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392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числе нежилые помещения: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7709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7710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5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помещение для охраны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393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159"/>
        </w:trPr>
        <w:tc>
          <w:tcPr>
            <w:shd w:val="clear" w:color="auto" w:fill="auto"/>
            <w:tcBorders>
              <w:top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места врезки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подземный газопровод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ДУ 108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ОАО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Челябинскгоргаз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до ввода в котельную по адресу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65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74:36:0408001:80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(в составе ЕЗП 74:36:0408001:39)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сооружение газопровода низкого давления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418*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ул.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трубопроводного транспорта – водопровод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58935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74:36:0408001:103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здани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(офис, склад)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3261*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(офис, магазин)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402*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склад производственный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403*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склад производственный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склад производственный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406*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склад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производственный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407*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производственный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409*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74:36:0408001:104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 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3082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(частично)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5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74:36:0408001:106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443*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130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74:36:0408001:107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трубопроводного транспорта – водопровод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58935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нутриквартальная сеть водопровода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000000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66782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74:36:0408001:111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 9, лит. 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в том числе нежилые помещения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3128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3165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лит. 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3084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в том числе нежилые помещения: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3170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Орджоникидзе, 43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теплотрассы – тепловые сети к производственной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5984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34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130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     цех бестарного хранения муки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3248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7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 9, лит. 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лит. Ж1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74:36:0408001:119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(зарядная станция)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3090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ind w:right="-19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 130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ind w:right="-19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административное здание (лит.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3108*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числе нежилые помещения: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3120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3121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от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71-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до н/ст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здания                            по ул. Кирова, 130Е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7196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7387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магазин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3103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Восточная Желябова, 32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74:36:0408001:150 (в составе ЕЗП 74:36:0000000:256)*частично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(гаражные блоки)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74:36:0408001:151                (в составе ЕЗП 74:36:0000000:256)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склад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 лит. Т1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холодильник лит.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Щ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 3077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числе нежилые помещения: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3116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3117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пересечение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         пер. Южный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74:36:0408001:171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административное (ОНС)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7015*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74:36:0408001:180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склад металла и готовой продукции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3096*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14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ул. Кирова, 130,             лит.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Q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31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для трансформаторов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3104*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3105*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74:36:0408001:199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415*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водопровод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д. 65 – 18 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канализация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д. 100 – 5 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выгреб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теплотрасса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д. 80 – 22 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эл. кабель ААВБ3х35-87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т. 4-6а до наружной стены здания              № 67 по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коммунального хозяйства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7568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910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электроэнергетики – КЛ-0,4 кВ от ТП-1145 1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р. 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9395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0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внутриквартальная сеть водопровода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 66782**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Кирова, 130,              лит. Ф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74:36:0408001:219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(склад № 17)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3026*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числе нежилые помещения: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3429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3431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г. Челябинск,                 ул. Кирова, 130</w:t>
            </w:r>
            <w:r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74:36:0408001:232</w:t>
            </w:r>
            <w:r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н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ежилое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 здание</w:t>
            </w:r>
            <w:r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3079</w:t>
            </w:r>
            <w:r>
              <w:rPr>
                <w:rFonts w:ascii="Times New Roman" w:hAnsi="Times New Roman" w:cs="Times New Roman"/>
                <w:spacing w:val="-6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auto"/>
            <w:tcW w:w="1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н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ежилое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  <w:t xml:space="preserve"> здание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</w:tc>
        <w:tc>
          <w:tcPr>
            <w:shd w:val="clear" w:color="auto" w:fill="auto"/>
            <w:tcW w:w="16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 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числе нежил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е помещени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19442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26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74:36:0408001:236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металлический для оборудования, столярный цех, зерновой склад                № 21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74:36:0408001:237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металлический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383*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столярный цех, зерновой склад                № 21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385*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                     по ул. 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водопровод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58935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границах                  ул. Тимирязева – 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Цвиллинга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          ул. Орджоникидзе – ул. Кирова, от дома № 64 по ул. Орджоникидзе до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врезки в коллектор по ул. Либкнехта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водоотведения – наружные сети канализации от дома № 64 по ул. Орджоникидзе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ru-RU"/>
              </w:rPr>
              <w:t xml:space="preserve">67129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металлический для оборудования, столярный цех, зерновой склад № 21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19274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   ул. Орджоникидзе, 54А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74:36:0408001:263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74:36:0408001:2753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 том числе нежилое помещение 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2477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2973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–цех бестарного хранения отрубей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3097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74:36:0408001:2975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1526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68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0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74:36:0408001:3022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0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74:36:0408001:3040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1534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2464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74:36:0408001:3140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1537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74:36:0408001:3153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1540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19467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130, ст. 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74:36:0408001:3160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склад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22 и контора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74:36:0408001:3199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1532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19511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74:36:0408001:3236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19527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74:36:0408001:3739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1114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81А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74:36:0408001:3800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для размещения объекта хранения автотранспорта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74:36:0408001:3809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19316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74:36:0408001:3853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омещение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19514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74:36:0408001:3871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1447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омещение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19420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74:36:0408001:3956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19385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74:36:0408001:3975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4023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ул. Кирова, 130Е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994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открытая площадка для складирования строительных материалов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ТП 1145 по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ТП 1206                         по ул. Орджоникидзе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4092 (часть)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воздушная линия            6 кВ ТП 1145 – ТП 1206 с кабельными выходами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Литер: Г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522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74:36:0408001:4191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425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70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трансформаторная подстанция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426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843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электроэнергетики – ТП 1137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10227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г. Челябинск, в квартале: ул. Сони Кривой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     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Курчатова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      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коммунального хозяйства – тепловые сети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62238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424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**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427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**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429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**</w:t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ГСК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74:36:0408001:4463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2479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79Б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              ст. 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74:36:0408001:4474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 магазин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непродовольствен-ных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товаров с выставочным залом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388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460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79Б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автостоянка крытая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416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014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81-77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электроэнергетики – КЛ 6 кВ ТП 1137 –ТП 1145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630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от ТК 4-17, через ТК 4-13, до ТК 4-14;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7073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30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от ТК 4-17до ТК 4-18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6510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505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г. Челябинск, в квартале: ул. Сони Кривой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     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Курчатова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       ул.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val="ru-RU"/>
              </w:rPr>
              <w:t xml:space="preserve">сооружения коммунального хозяйства – тепловые сети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62238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4585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1465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19427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 ул. Кирова (Элеватор)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7190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силосный корпус рабочей башни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3099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8216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1517Б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3175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8219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1543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19339*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8348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1508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4456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8586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19236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8605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1531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3617*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8610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19298*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9229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1528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19259*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ул.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Орджоникидзе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74:36:0408001:9248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г. Челябинск,                            ул. Орджоникидзе, земельный участок 62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74:36:0408001:9247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74:36:0408001:9394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1473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hd w:val="clear" w:color="auto" w:fill="ffffff"/>
              </w:rPr>
              <w:t xml:space="preserve">74:36:0000000:</w:t>
            </w:r>
            <w:r>
              <w:rPr>
                <w:rFonts w:ascii="Times New Roman" w:hAnsi="Times New Roman" w:cs="Times New Roman"/>
                <w:color w:val="252625"/>
                <w:sz w:val="22"/>
                <w:shd w:val="clear" w:color="auto" w:fill="ffffff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hd w:val="clear" w:color="auto" w:fill="ffffff"/>
              </w:rPr>
              <w:t xml:space="preserve">36283</w:t>
            </w:r>
            <w:r>
              <w:rPr>
                <w:rFonts w:ascii="Times New Roman" w:hAnsi="Times New Roman" w:cs="Times New Roman"/>
                <w:color w:val="252625"/>
                <w:sz w:val="22"/>
                <w:shd w:val="clear" w:color="auto" w:fill="ffffff"/>
                <w:lang w:val="ru-RU"/>
              </w:rPr>
              <w:t xml:space="preserve">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74:36:0408001:9406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1442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19347*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9813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19551*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9953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1521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1306*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9959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1444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4112*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48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10006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27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2446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1530А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 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19425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3619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3620*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1450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19396*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10189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 № 1545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3011*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10201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 № 1514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3174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10244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(гараж)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1431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4017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19295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40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10255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№ 1515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353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74:36:0408001:</w:t>
            </w: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252625"/>
                <w:sz w:val="22"/>
                <w:szCs w:val="22"/>
                <w:shd w:val="clear" w:color="auto" w:fill="ffffff"/>
              </w:rPr>
              <w:t xml:space="preserve">3504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353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10298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№ 1529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19335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10333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№ 1462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3664*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10356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(складское, гараж, караульное)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3085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комплекс технического обслуживания автомобилей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 392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10362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№ 1506А,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(гараж)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4186, 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ru-RU"/>
              </w:rPr>
              <w:t xml:space="preserve">19384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10363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№ 1506,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(гараж)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4186, 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19383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10392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цех отходов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3036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объект в полуразрушенном состоянии (семяочистительная башня)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3249*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4-8 до н/ст.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холодного склада (без учета транзитного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уч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-ка по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ул. Кирова, 130), ул. Кирова, 130Д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7193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ул. 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трубопроводного транспорта – водопровод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58935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029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67А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пристроенное здание (цех фасовки со складским помещением)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3106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инженерно-коммуникационное сооружение – пожарное депо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водоемом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3247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нежилое здание – мотовозное депо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3143*, 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10394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№ 1466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1307*, 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ГСК №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10405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гаражный блок                  № 1463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51007,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96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81-77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земли, государственная собственность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которые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 разграничена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электроэнергетики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КЛ 6 кВ ТП 1137 – ТП 1145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10153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068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от ТК 4-17, через ТК 4-13, до ТК 4-14;                        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81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7073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от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71-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до н/ст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здания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Кирова, 130Е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7196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т. 4-6а до наружной стены здания № 67 по 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коммунального хозяйства – теплотрасса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7568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электроэнергетики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КЛ-0,4 кВ от ТП-1145 1Сгр.5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9395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ул. Орджоникидзе, 43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сооружение теплотрассы – тепловые сети к производственной базе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74:36:0408001: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5984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                   по ул. 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трубопроводного 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водопровод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58935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  <w:trHeight w:val="1884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165.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ул. Кирова, от пр. Победы до дома                    № 130Д/1                      по ул. Кирова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дорожного транспорта – автомобильная дорога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63824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     в квартале: ул. Сони Кривой – ул. Кирова –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       ул. Курчатова –                   ул. Воровского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сооружения коммунального хозяйства – тепловые сети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74:36:0000000: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62238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Кирова 130, вдоль дома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сети наружного освещения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5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20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Елькина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сети наружного освещения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W w:w="16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снос/ реконструкция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  <w:tc>
          <w:tcPr>
            <w:shd w:val="clear" w:color="auto" w:fill="auto"/>
            <w:tcMar>
              <w:left w:w="55" w:type="dxa"/>
              <w:top w:w="55" w:type="dxa"/>
              <w:right w:w="55" w:type="dxa"/>
              <w:bottom w:w="55" w:type="dxa"/>
            </w:tcMar>
            <w:tcW w:w="1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pacing w:val="-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*</w:t>
      </w:r>
      <w:r>
        <w:rPr>
          <w:rFonts w:ascii="Times New Roman" w:hAnsi="Times New Roman" w:cs="Times New Roman"/>
          <w:spacing w:val="-6"/>
          <w:sz w:val="22"/>
          <w:szCs w:val="22"/>
          <w:lang w:val="ru-RU"/>
        </w:rPr>
        <w:t xml:space="preserve">  </w:t>
      </w:r>
      <w:r>
        <w:rPr>
          <w:rFonts w:ascii="Times New Roman" w:hAnsi="Times New Roman" w:cs="Times New Roman"/>
          <w:spacing w:val="-6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– объекты без координат границ  </w:t>
      </w:r>
      <w:r>
        <w:rPr>
          <w:rFonts w:ascii="Times New Roman" w:hAnsi="Times New Roman" w:cs="Times New Roman"/>
          <w:spacing w:val="-6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**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–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объекты без координат границ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случае установления факта его расположения за границами данной территории, он подлежит исключению из указанного перечня без возложения обязанностей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 проведению мероприятий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направленных на его снос/реконструкцию в рамках КРТ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</w:r>
      <w:r>
        <w:rPr>
          <w:rFonts w:ascii="Times New Roman" w:hAnsi="Times New Roman" w:cs="Times New Roman"/>
          <w:sz w:val="18"/>
          <w:szCs w:val="18"/>
          <w:lang w:val="ru-RU"/>
        </w:rPr>
      </w:r>
    </w:p>
    <w:p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</w:r>
      <w:r>
        <w:rPr>
          <w:rFonts w:ascii="Times New Roman" w:hAnsi="Times New Roman" w:cs="Times New Roman"/>
          <w:sz w:val="18"/>
          <w:szCs w:val="18"/>
          <w:lang w:val="ru-RU"/>
        </w:rPr>
      </w:r>
    </w:p>
    <w:p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</w:r>
      <w:r>
        <w:rPr>
          <w:rFonts w:ascii="Times New Roman" w:hAnsi="Times New Roman" w:cs="Times New Roman"/>
          <w:sz w:val="18"/>
          <w:szCs w:val="18"/>
          <w:lang w:val="ru-RU"/>
        </w:rPr>
      </w:r>
    </w:p>
    <w:p>
      <w:pPr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  <w:t xml:space="preserve">Н</w:t>
      </w:r>
      <w:r>
        <w:rPr>
          <w:rFonts w:ascii="Times New Roman" w:hAnsi="Times New Roman" w:cs="Times New Roman"/>
          <w:spacing w:val="-6"/>
          <w:lang w:val="ru-RU"/>
        </w:rPr>
        <w:t xml:space="preserve">ачальник Управления</w:t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  <w:t xml:space="preserve">по архитектурно-градостроительному </w:t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  <w:t xml:space="preserve">проектированию города Челябинска</w:t>
      </w:r>
      <w:r>
        <w:rPr>
          <w:rFonts w:ascii="Times New Roman" w:hAnsi="Times New Roman" w:cs="Times New Roman"/>
          <w:spacing w:val="-6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pacing w:val="-6"/>
          <w:lang w:val="ru-RU"/>
        </w:rPr>
        <w:t xml:space="preserve">Н. В. </w:t>
      </w:r>
      <w:r>
        <w:rPr>
          <w:rFonts w:ascii="Times New Roman" w:hAnsi="Times New Roman" w:cs="Times New Roman"/>
          <w:spacing w:val="-6"/>
          <w:lang w:val="ru-RU"/>
        </w:rPr>
        <w:t xml:space="preserve">Чернушкина</w:t>
      </w:r>
      <w:r>
        <w:rPr>
          <w:rFonts w:ascii="Times New Roman" w:hAnsi="Times New Roman" w:cs="Times New Roman"/>
          <w:spacing w:val="-6"/>
          <w:lang w:val="ru-RU"/>
        </w:rPr>
      </w:r>
    </w:p>
    <w:p>
      <w:pPr>
        <w:rPr>
          <w:rFonts w:ascii="Times New Roman" w:hAnsi="Times New Roman" w:cs="Times New Roman"/>
          <w:spacing w:val="-6"/>
          <w:lang w:val="ru-RU"/>
        </w:rPr>
      </w:pPr>
      <w:r>
        <w:rPr>
          <w:rFonts w:ascii="Times New Roman" w:hAnsi="Times New Roman" w:cs="Times New Roman"/>
          <w:spacing w:val="-6"/>
          <w:lang w:val="ru-RU"/>
        </w:rPr>
      </w:r>
      <w:r>
        <w:rPr>
          <w:rFonts w:ascii="Times New Roman" w:hAnsi="Times New Roman" w:cs="Times New Roman"/>
          <w:spacing w:val="-6"/>
          <w:lang w:val="ru-RU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26" w:right="424" w:bottom="993" w:left="1701" w:header="567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Microsoft YaHei">
    <w:panose1 w:val="020B0503020203020204"/>
  </w:font>
  <w:font w:name="Wingdings">
    <w:panose1 w:val="05010000000000000000"/>
  </w:font>
  <w:font w:name="Liberation Sans">
    <w:panose1 w:val="020B0604020202020204"/>
  </w:font>
  <w:font w:name="SimSun">
    <w:panose1 w:val="02000506000000020000"/>
  </w:font>
  <w:font w:name="Courier New">
    <w:panose1 w:val="02070409020205020404"/>
  </w:font>
  <w:font w:name="Mangal">
    <w:panose1 w:val="02040503050306020203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16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08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imSu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60"/>
      <w:numFmt w:val="bullet"/>
      <w:isLgl w:val="false"/>
      <w:suff w:val="tab"/>
      <w:lvlText w:val=""/>
      <w:lvlJc w:val="left"/>
      <w:pPr>
        <w:ind w:left="1040" w:hanging="360"/>
      </w:pPr>
      <w:rPr>
        <w:rFonts w:hint="default" w:ascii="Symbol" w:hAnsi="Symbol" w:eastAsia="SimSu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1"/>
    <w:next w:val="68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1"/>
    <w:next w:val="68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1"/>
    <w:next w:val="68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1"/>
    <w:next w:val="6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2"/>
    <w:link w:val="34"/>
    <w:uiPriority w:val="10"/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2"/>
    <w:link w:val="36"/>
    <w:uiPriority w:val="11"/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2"/>
    <w:link w:val="695"/>
    <w:uiPriority w:val="99"/>
  </w:style>
  <w:style w:type="character" w:styleId="45">
    <w:name w:val="Footer Char"/>
    <w:basedOn w:val="682"/>
    <w:link w:val="697"/>
    <w:uiPriority w:val="99"/>
  </w:style>
  <w:style w:type="character" w:styleId="47">
    <w:name w:val="Caption Char"/>
    <w:basedOn w:val="689"/>
    <w:link w:val="697"/>
    <w:uiPriority w:val="99"/>
  </w:style>
  <w:style w:type="table" w:styleId="48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2"/>
    <w:uiPriority w:val="99"/>
    <w:unhideWhenUsed/>
    <w:rPr>
      <w:vertAlign w:val="superscript"/>
    </w:rPr>
  </w:style>
  <w:style w:type="paragraph" w:styleId="178">
    <w:name w:val="endnote text"/>
    <w:basedOn w:val="6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2"/>
    <w:uiPriority w:val="99"/>
    <w:semiHidden/>
    <w:unhideWhenUsed/>
    <w:rPr>
      <w:vertAlign w:val="superscript"/>
    </w:rPr>
  </w:style>
  <w:style w:type="paragraph" w:styleId="181">
    <w:name w:val="toc 1"/>
    <w:basedOn w:val="681"/>
    <w:next w:val="68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1"/>
    <w:next w:val="68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1"/>
    <w:next w:val="6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1"/>
    <w:next w:val="6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1"/>
    <w:next w:val="6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1"/>
    <w:next w:val="6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1"/>
    <w:next w:val="6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1"/>
    <w:next w:val="6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1"/>
    <w:next w:val="68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1"/>
    <w:next w:val="681"/>
    <w:uiPriority w:val="99"/>
    <w:unhideWhenUsed/>
    <w:pPr>
      <w:spacing w:after="0" w:afterAutospacing="0"/>
    </w:pPr>
  </w:style>
  <w:style w:type="paragraph" w:styleId="681" w:default="1">
    <w:name w:val="Normal"/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paragraph" w:styleId="685" w:customStyle="1">
    <w:name w:val="Standard"/>
  </w:style>
  <w:style w:type="paragraph" w:styleId="686" w:customStyle="1">
    <w:name w:val="Heading"/>
    <w:basedOn w:val="681"/>
    <w:next w:val="687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687" w:customStyle="1">
    <w:name w:val="Text body"/>
    <w:basedOn w:val="681"/>
    <w:pPr>
      <w:spacing w:after="140" w:line="288" w:lineRule="auto"/>
    </w:pPr>
  </w:style>
  <w:style w:type="paragraph" w:styleId="688">
    <w:name w:val="List"/>
    <w:basedOn w:val="687"/>
  </w:style>
  <w:style w:type="paragraph" w:styleId="689">
    <w:name w:val="Caption"/>
    <w:basedOn w:val="681"/>
    <w:pPr>
      <w:spacing w:before="120" w:after="120"/>
      <w:suppressLineNumbers/>
    </w:pPr>
    <w:rPr>
      <w:i/>
      <w:iCs/>
    </w:rPr>
  </w:style>
  <w:style w:type="paragraph" w:styleId="690" w:customStyle="1">
    <w:name w:val="Указатель1"/>
    <w:basedOn w:val="681"/>
    <w:pPr>
      <w:suppressLineNumbers/>
    </w:pPr>
  </w:style>
  <w:style w:type="paragraph" w:styleId="691" w:customStyle="1">
    <w:name w:val="ConsPlusNormal"/>
    <w:rPr>
      <w:rFonts w:eastAsia="SimSun"/>
      <w:sz w:val="26"/>
      <w:szCs w:val="26"/>
      <w:lang w:eastAsia="zh-CN" w:bidi="hi-IN"/>
    </w:rPr>
  </w:style>
  <w:style w:type="paragraph" w:styleId="692" w:customStyle="1">
    <w:name w:val="Table Contents"/>
    <w:basedOn w:val="681"/>
    <w:pPr>
      <w:widowControl w:val="off"/>
      <w:suppressLineNumbers/>
    </w:pPr>
  </w:style>
  <w:style w:type="paragraph" w:styleId="693" w:customStyle="1">
    <w:name w:val="Table Heading"/>
    <w:basedOn w:val="692"/>
    <w:pPr>
      <w:jc w:val="center"/>
    </w:pPr>
    <w:rPr>
      <w:b/>
      <w:bCs/>
    </w:rPr>
  </w:style>
  <w:style w:type="paragraph" w:styleId="694" w:customStyle="1">
    <w:name w:val="Верхний и нижний колонтитулы"/>
    <w:basedOn w:val="681"/>
    <w:pPr>
      <w:tabs>
        <w:tab w:val="center" w:pos="4819" w:leader="none"/>
        <w:tab w:val="right" w:pos="9638" w:leader="none"/>
      </w:tabs>
      <w:suppressLineNumbers/>
    </w:pPr>
  </w:style>
  <w:style w:type="paragraph" w:styleId="695">
    <w:name w:val="Header"/>
    <w:basedOn w:val="681"/>
    <w:pPr>
      <w:tabs>
        <w:tab w:val="center" w:pos="4819" w:leader="none"/>
        <w:tab w:val="right" w:pos="9638" w:leader="none"/>
      </w:tabs>
      <w:suppressLineNumbers/>
    </w:pPr>
  </w:style>
  <w:style w:type="paragraph" w:styleId="696">
    <w:name w:val="List Paragraph"/>
    <w:basedOn w:val="681"/>
    <w:uiPriority w:val="34"/>
    <w:qFormat/>
    <w:pPr>
      <w:contextualSpacing/>
      <w:ind w:left="720"/>
    </w:pPr>
    <w:rPr>
      <w:szCs w:val="21"/>
    </w:rPr>
  </w:style>
  <w:style w:type="paragraph" w:styleId="697">
    <w:name w:val="Footer"/>
    <w:basedOn w:val="681"/>
    <w:link w:val="698"/>
    <w:uiPriority w:val="99"/>
    <w:unhideWhenUsed/>
    <w:pPr>
      <w:tabs>
        <w:tab w:val="center" w:pos="4677" w:leader="none"/>
        <w:tab w:val="right" w:pos="9355" w:leader="none"/>
      </w:tabs>
    </w:pPr>
    <w:rPr>
      <w:szCs w:val="21"/>
    </w:rPr>
  </w:style>
  <w:style w:type="character" w:styleId="698" w:customStyle="1">
    <w:name w:val="Нижний колонтитул Знак"/>
    <w:basedOn w:val="682"/>
    <w:link w:val="697"/>
    <w:uiPriority w:val="99"/>
    <w:rPr>
      <w:rFonts w:ascii="Liberation Serif" w:hAnsi="Liberation Serif" w:eastAsia="SimSun" w:cs="Mangal"/>
      <w:sz w:val="24"/>
      <w:szCs w:val="21"/>
      <w:lang w:val="en-US" w:eastAsia="zh-CN" w:bidi="hi-IN"/>
    </w:rPr>
  </w:style>
  <w:style w:type="paragraph" w:styleId="699">
    <w:name w:val="Balloon Text"/>
    <w:basedOn w:val="681"/>
    <w:link w:val="700"/>
    <w:uiPriority w:val="99"/>
    <w:semiHidden/>
    <w:unhideWhenUsed/>
    <w:rPr>
      <w:rFonts w:ascii="Tahoma" w:hAnsi="Tahoma"/>
      <w:sz w:val="16"/>
      <w:szCs w:val="14"/>
    </w:rPr>
  </w:style>
  <w:style w:type="character" w:styleId="700" w:customStyle="1">
    <w:name w:val="Текст выноски Знак"/>
    <w:basedOn w:val="682"/>
    <w:link w:val="699"/>
    <w:uiPriority w:val="99"/>
    <w:semiHidden/>
    <w:rPr>
      <w:rFonts w:ascii="Tahoma" w:hAnsi="Tahoma" w:eastAsia="SimSun" w:cs="Mangal"/>
      <w:sz w:val="16"/>
      <w:szCs w:val="14"/>
      <w:lang w:val="en-US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58F4-3668-49BD-B747-F9168263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revision>4</cp:revision>
  <dcterms:created xsi:type="dcterms:W3CDTF">2026-07-03T05:57:00Z</dcterms:created>
  <dcterms:modified xsi:type="dcterms:W3CDTF">2026-07-21T09:33:15Z</dcterms:modified>
</cp:coreProperties>
</file>