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10773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/>
    </w:p>
    <w:p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города</w:t>
      </w:r>
      <w:r/>
    </w:p>
    <w:p>
      <w:pPr>
        <w:jc w:val="right"/>
        <w:tabs>
          <w:tab w:val="left" w:pos="1077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21.07.2026 № 11787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left" w:pos="1077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4"/>
        <w:jc w:val="center"/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</w:pP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Основные виды разрешенного использования, п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редельные размеры земельных участков и параметры разрешенного строительства, реконструкции объектов капитального строительства,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соответствующие территориальной зоне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Б.3.3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«Смешанная зона реновации в зонах развития»,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которые могут быть выбраны при реализации решения о комплексном развитии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несмежных территорий жилой застройки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в кварталах, ограниченных Комсомольским пр. –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                  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ул. Краснознаменной – ул. Островского – ул. Цинковой;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Свердловским пр. – ул. Островского – пер. Островского – ул.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Каслинской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; ул. Островского –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                    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ул. Краснознаменной – пр.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Победы –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Свердловским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пр.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,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и на пересечении Свердловского пр. и Комсомольского пр. в Курчатовском районе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                                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  <w:t xml:space="preserve">города Челябинска</w:t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</w:r>
    </w:p>
    <w:p>
      <w:pPr>
        <w:pStyle w:val="684"/>
        <w:jc w:val="center"/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</w:pPr>
      <w:r>
        <w:rPr>
          <w:rFonts w:eastAsia="Calibri"/>
          <w:b w:val="0"/>
          <w:bCs w:val="0"/>
          <w:spacing w:val="-6"/>
          <w:sz w:val="24"/>
          <w:szCs w:val="24"/>
          <w:lang w:eastAsia="en-US"/>
        </w:rPr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</w:r>
    </w:p>
    <w:p>
      <w:pPr>
        <w:pStyle w:val="684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1. </w:t>
      </w:r>
      <w:r>
        <w:rPr>
          <w:rFonts w:eastAsia="Times New Roman"/>
          <w:sz w:val="24"/>
          <w:szCs w:val="24"/>
          <w:lang w:eastAsia="ru-RU"/>
        </w:rPr>
        <w:t xml:space="preserve">Планируемая территориальная зона для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несмежных территорий жилой застройки в </w:t>
      </w:r>
      <w:r>
        <w:rPr>
          <w:rFonts w:eastAsia="Times New Roman"/>
          <w:sz w:val="24"/>
          <w:szCs w:val="24"/>
          <w:lang w:eastAsia="ru-RU"/>
        </w:rPr>
        <w:t xml:space="preserve">кварталах, ограниченных                             Комсомольским пр. – ул. Краснознаменной – ул. Островского – ул. Цинковой; Свердловским пр. – ул. Островского – пер. Островского – </w:t>
      </w:r>
      <w:r>
        <w:rPr>
          <w:rFonts w:eastAsia="Times New Roman"/>
          <w:sz w:val="24"/>
          <w:szCs w:val="24"/>
          <w:lang w:eastAsia="ru-RU"/>
        </w:rPr>
        <w:t xml:space="preserve">                          </w:t>
      </w:r>
      <w:r>
        <w:rPr>
          <w:rFonts w:eastAsia="Times New Roman"/>
          <w:sz w:val="24"/>
          <w:szCs w:val="24"/>
          <w:lang w:eastAsia="ru-RU"/>
        </w:rPr>
        <w:t xml:space="preserve">ул. </w:t>
      </w:r>
      <w:r>
        <w:rPr>
          <w:rFonts w:eastAsia="Times New Roman"/>
          <w:sz w:val="24"/>
          <w:szCs w:val="24"/>
          <w:lang w:eastAsia="ru-RU"/>
        </w:rPr>
        <w:t xml:space="preserve">Каслинской</w:t>
      </w:r>
      <w:r>
        <w:rPr>
          <w:rFonts w:eastAsia="Times New Roman"/>
          <w:sz w:val="24"/>
          <w:szCs w:val="24"/>
          <w:lang w:eastAsia="ru-RU"/>
        </w:rPr>
        <w:t xml:space="preserve">; ул. Островского – ул. Краснознаменной – пр.</w:t>
      </w:r>
      <w:r>
        <w:rPr>
          <w:rFonts w:eastAsia="Times New Roman"/>
          <w:sz w:val="24"/>
          <w:szCs w:val="24"/>
          <w:lang w:eastAsia="ru-RU"/>
        </w:rPr>
        <w:t xml:space="preserve"> Победы – </w:t>
      </w:r>
      <w:r>
        <w:rPr>
          <w:rFonts w:eastAsia="Times New Roman"/>
          <w:sz w:val="24"/>
          <w:szCs w:val="24"/>
          <w:lang w:eastAsia="ru-RU"/>
        </w:rPr>
        <w:t xml:space="preserve">Свердловским</w:t>
      </w:r>
      <w:r>
        <w:rPr>
          <w:rFonts w:eastAsia="Times New Roman"/>
          <w:sz w:val="24"/>
          <w:szCs w:val="24"/>
          <w:lang w:eastAsia="ru-RU"/>
        </w:rPr>
        <w:t xml:space="preserve"> пр.</w:t>
      </w:r>
      <w:r>
        <w:rPr>
          <w:rFonts w:eastAsia="Times New Roman"/>
          <w:sz w:val="24"/>
          <w:szCs w:val="24"/>
          <w:lang w:eastAsia="ru-RU"/>
        </w:rPr>
        <w:t xml:space="preserve">,</w:t>
      </w:r>
      <w:r>
        <w:rPr>
          <w:rFonts w:eastAsia="Times New Roman"/>
          <w:sz w:val="24"/>
          <w:szCs w:val="24"/>
          <w:lang w:eastAsia="ru-RU"/>
        </w:rPr>
        <w:t xml:space="preserve"> и на пересечении Свердловского пр. и Комсомольского пр. в Курчатовском районе города Челябинска</w:t>
      </w:r>
      <w:r>
        <w:rPr>
          <w:rFonts w:eastAsia="Times New Roman"/>
          <w:sz w:val="24"/>
          <w:szCs w:val="24"/>
          <w:lang w:eastAsia="ru-RU"/>
        </w:rPr>
        <w:t xml:space="preserve">− территориальная зона </w:t>
      </w:r>
      <w:r>
        <w:rPr>
          <w:rFonts w:eastAsia="Times New Roman"/>
          <w:sz w:val="24"/>
          <w:szCs w:val="24"/>
          <w:lang w:eastAsia="ru-RU"/>
        </w:rPr>
        <w:t xml:space="preserve">Б.3.3</w:t>
      </w:r>
      <w:r>
        <w:rPr>
          <w:rFonts w:eastAsia="Times New Roman"/>
          <w:sz w:val="24"/>
          <w:szCs w:val="24"/>
          <w:lang w:eastAsia="ru-RU"/>
        </w:rPr>
        <w:t xml:space="preserve"> «Смешанная зона реновации в зонах развития».</w:t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84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Территориальная зона </w:t>
      </w:r>
      <w:r>
        <w:rPr>
          <w:rFonts w:eastAsia="Times New Roman"/>
          <w:sz w:val="24"/>
          <w:szCs w:val="24"/>
          <w:lang w:eastAsia="ru-RU"/>
        </w:rPr>
        <w:t xml:space="preserve">Б.3.3</w:t>
      </w:r>
      <w:r>
        <w:rPr>
          <w:rFonts w:eastAsia="Times New Roman"/>
          <w:sz w:val="24"/>
          <w:szCs w:val="24"/>
          <w:lang w:eastAsia="ru-RU"/>
        </w:rPr>
        <w:t xml:space="preserve"> предназначена для размещения жи</w:t>
      </w:r>
      <w:r>
        <w:rPr>
          <w:rFonts w:eastAsia="Times New Roman"/>
          <w:sz w:val="24"/>
          <w:szCs w:val="24"/>
          <w:lang w:eastAsia="ru-RU"/>
        </w:rPr>
        <w:t xml:space="preserve">лых домов и объектов общественно-делового назначения на единой территории и инфраструктуры, необходимой для функционирования таких объектов в отношении территорий (земельных участков и объектов капитального строительства), включенных в границы комплексного</w:t>
      </w:r>
      <w:r>
        <w:rPr>
          <w:rFonts w:eastAsia="Times New Roman"/>
          <w:sz w:val="24"/>
          <w:szCs w:val="24"/>
          <w:lang w:eastAsia="ru-RU"/>
        </w:rPr>
        <w:t xml:space="preserve"> развития территории города Челябинска. Градостроительный регламент данной зоны применяется в целях подготовки документации по планировке территории, разрабатываемой в отношении территорий, в границах которых осуществляется комплексное развитие территорий.</w:t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84"/>
        <w:ind w:firstLine="709"/>
        <w:jc w:val="both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2. Виды разрешенного использования</w:t>
      </w:r>
      <w:r>
        <w:rPr>
          <w:rFonts w:eastAsia="Times New Roman"/>
          <w:sz w:val="24"/>
          <w:szCs w:val="24"/>
          <w:lang w:eastAsia="ru-RU"/>
        </w:rPr>
        <w:t xml:space="preserve">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 территориальной зоне </w:t>
      </w:r>
      <w:r>
        <w:rPr>
          <w:rFonts w:eastAsia="Times New Roman"/>
          <w:sz w:val="24"/>
          <w:szCs w:val="24"/>
          <w:lang w:eastAsia="ru-RU"/>
        </w:rPr>
        <w:t xml:space="preserve">Б.3.3</w:t>
      </w:r>
      <w:r>
        <w:rPr>
          <w:rFonts w:eastAsia="Times New Roman"/>
          <w:sz w:val="24"/>
          <w:szCs w:val="24"/>
          <w:lang w:eastAsia="ru-RU"/>
        </w:rPr>
        <w:t xml:space="preserve">:</w:t>
      </w:r>
      <w:r>
        <w:rPr>
          <w:rFonts w:eastAsia="Times New Roman"/>
          <w:sz w:val="24"/>
          <w:szCs w:val="24"/>
          <w:lang w:eastAsia="ru-RU"/>
        </w:rPr>
      </w:r>
    </w:p>
    <w:tbl>
      <w:tblPr>
        <w:tblW w:w="1513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1398"/>
        <w:gridCol w:w="1720"/>
        <w:gridCol w:w="1276"/>
        <w:gridCol w:w="1431"/>
        <w:gridCol w:w="1371"/>
        <w:gridCol w:w="1418"/>
        <w:gridCol w:w="1418"/>
      </w:tblGrid>
      <w:tr>
        <w:tblPrEx/>
        <w:trPr>
          <w:tblHeader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Виды разрешенного использования земельных участков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ind w:left="-82" w:right="-116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размер участка, кв.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Максимальный размер участка, кв.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ind w:left="-111" w:right="-109"/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отступ от границ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красных линий, территорий общего пользования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115" w:right="-12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процент застройки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ind w:left="-10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Максимальный процент застройки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ind w:left="-96" w:right="-132"/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процент озеленения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  <w:p>
            <w:pPr>
              <w:ind w:left="-96" w:right="-13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ind w:left="-92" w:right="-136"/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Коэффициент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строительного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использования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ind w:left="-88" w:right="-9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Предельная этажность/ максимальная высота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ОКС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,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W w:w="15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eastAsia="ru-RU"/>
              </w:rPr>
              <w:t xml:space="preserve">Основные виды разрешенного использования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(2.1.1) малоэтажная многоквартирная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жилая застройка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900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(2.3) блокированная жилая застройка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(2.5)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среднеэтажная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 жилая застройка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8/НУ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(2.6) многоэтажная жилая застройка (высотная застройка)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4000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(2.7.2.) размещение гаражей для собственных нужд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60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(3.1.1) предоставление коммунальных услуг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(3.1.2) административные здания организаций, обеспечивающих предоставление коммунальных услуг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(3.2.4) общежития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(3.3) бытовое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(3.4.1) амбулаторно-поликлиническое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(3.5) образование и просвещение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(3.5.1) дошкольное, начальное и среднее общее образование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(3.5.2) среднее и высшее профессиональное образование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(3.6.1) объекты культурно-досуговой деятельности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(3.7.1) осуществление религиозных обрядов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(3.7.2.) религиозное управление и образование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(3.8) общественное управление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(3.8.1) государственное управление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(3.8.2) представительская деятельность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(3.9.1) обеспечение деятельности в области гидрометеорологии и смежных с ней областях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(3.10.1) амбулаторное ветеринарное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2000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(4.1) деловое управление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(4.4) магазины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(4.5) банковская и страховая деятельность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(4.6) общественное питание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(4.7) гостиничное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(4.8.1) развлекательные мероприятия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(4.9) служебные гаражи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(4.9.2) стоянка транспортных средств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26"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(5.1.1) обеспечение спортивно-зрелищных мероприятий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(5.1.2) обеспечение занятий спортом в помещениях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6000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(5.1.3) площадки для занятий спортом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 – не менее 10 м от окон жилых и общественных зданий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(5.1.4) оборудованные площадки для занятий спортом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 – не менее 10 м от окон жилых и общественных зданий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(5.2.1) туристическое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(6.8) связь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(6.12) научно-производственная деятельность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(8.3) обеспечение внутреннего правопорядка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(12.0) земельные участки (территории) общего пользования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(12.0.1) улично-дорожная сеть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(12.0.2) благоустройство территории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ОКС</w:t>
      </w:r>
      <w:r>
        <w:rPr>
          <w:rFonts w:ascii="Times New Roman" w:hAnsi="Times New Roman" w:cs="Times New Roman"/>
          <w:sz w:val="20"/>
          <w:szCs w:val="20"/>
        </w:rPr>
        <w:t xml:space="preserve"> – объекты капитального строительства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НУ – не устанавливаются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Примечания: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Процент озеленения должен учитывать сочетание древесной, кустарниковой и травянистой растительности в пропорции 4:3:3 соответственно. В случае наличия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в границах земельного участка охранных зон объектов инженерной инфраструктуры, исключающих возможность размещения древесной и (или) кустарниковой растительности, указанные пропорции не подлежат применению.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Строительство территории жилой застройки с видами разрешенного использования 2.1.1, 2.3, 2.5, 2.6 допускается только при достижении минимального уровня обеспеченности </w:t>
      </w:r>
      <w:r>
        <w:rPr>
          <w:rFonts w:ascii="Times New Roman" w:hAnsi="Times New Roman" w:cs="Times New Roman"/>
          <w:sz w:val="20"/>
          <w:szCs w:val="20"/>
        </w:rPr>
        <w:t xml:space="preserve">и доступности объектами социальной, транспортной и инженерной инфраструктуры в соответствии с Нормативами градостроительного проектирования муниципального образования «город Челябинск», утвержденными решением Челябинской городской Думы от 17.02.2015 № 6/8.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Минимальные размеры земельного участка (кв. м) не устана</w:t>
      </w:r>
      <w:r>
        <w:rPr>
          <w:rFonts w:ascii="Times New Roman" w:hAnsi="Times New Roman" w:cs="Times New Roman"/>
          <w:sz w:val="20"/>
          <w:szCs w:val="20"/>
        </w:rPr>
        <w:t xml:space="preserve">вливаются при образовании земельного участка для эксплуатации существующего объекта капитального строительства с видами разрешенного использования 2.1.1, 2.3, 2.5, 2.6, введенных в эксплуатацию до 06.09.2023, при условии соблюдения технических регламентов.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земельным участк</w:t>
      </w:r>
      <w:r>
        <w:rPr>
          <w:rFonts w:ascii="Times New Roman" w:hAnsi="Times New Roman" w:cs="Times New Roman"/>
          <w:sz w:val="20"/>
          <w:szCs w:val="20"/>
        </w:rPr>
        <w:t xml:space="preserve">ам с видами разрешенного использования 2.1.1, 2.3, 2.5, 2.6, образуемым в соответствии с документацией по планировке территории, утвержденной до 06.09.2023, применяются размеры земельных участков, установленные такой документацией по планировке территории.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Площадь земельного участка составляет для дошкольного образования: мощностью до 100 человек − 44 </w:t>
      </w:r>
      <w:r>
        <w:rPr>
          <w:rFonts w:ascii="Times New Roman" w:hAnsi="Times New Roman" w:cs="Times New Roman"/>
          <w:sz w:val="20"/>
          <w:szCs w:val="20"/>
        </w:rPr>
        <w:t xml:space="preserve">кв. м на человека, свыше 100 − 38 кв. м, в комплексе дошкольных образовательных организаций свыше 500 мест − 30 кв. м. Начальное и общее образование: до 500 мест − 65 кв. м на человека, до 600 мест − 55 кв. м на человека, до 800 мест − 45 кв. м на человека</w:t>
      </w:r>
      <w:r>
        <w:rPr>
          <w:rFonts w:ascii="Times New Roman" w:hAnsi="Times New Roman" w:cs="Times New Roman"/>
          <w:sz w:val="20"/>
          <w:szCs w:val="20"/>
        </w:rPr>
        <w:t xml:space="preserve">, до 1100 мест − 36 кв. м на человека, до 1500 − 23 кв. м на человека, до 2000 − 18 кв. м на человека.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**** Площадь земельного участка составляет для профессиональных образовательных организаций: мощностью до 300 человек − 20000 кв. м, от 300 до 400 − 24000 кв</w:t>
      </w:r>
      <w:r>
        <w:rPr>
          <w:rFonts w:ascii="Times New Roman" w:hAnsi="Times New Roman" w:cs="Times New Roman"/>
          <w:sz w:val="20"/>
          <w:szCs w:val="20"/>
        </w:rPr>
        <w:t xml:space="preserve">. м, свыше 400 до 600 − 31000 кв. м, свыше 600 − 37000 кв. м. Для образовательных организаций высшего образования в очной форме обучения (площадь учебной зоны) на 1000 студентов − 40000 кв. м, в заочной форме обучения, для институтов повышения квалификации</w:t>
      </w:r>
      <w:r>
        <w:rPr>
          <w:rFonts w:ascii="Times New Roman" w:hAnsi="Times New Roman" w:cs="Times New Roman"/>
          <w:sz w:val="20"/>
          <w:szCs w:val="20"/>
        </w:rPr>
        <w:t xml:space="preserve"> на 1000 студентов − 20000 кв. м. Площадь зоны студенческих общежитий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на 1000 проживающих − 20000 кв. м.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3. Коэффициент строительного использования территориальной зоны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 − 3,0.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Сумма общих площадей помещений, выполняющих жилую функцию (в том числе необход</w:t>
      </w:r>
      <w:r>
        <w:rPr>
          <w:rFonts w:ascii="Times New Roman" w:hAnsi="Times New Roman" w:cs="Times New Roman"/>
          <w:sz w:val="24"/>
          <w:szCs w:val="24"/>
        </w:rPr>
        <w:t xml:space="preserve">имых для эксплуатации жилых помещений и относимых к общему имуществу многоквартирных домов), не может превышать 80 % от суммы общих площадей всех объектов капитального строительства в данной территориальной зоне в границах элемента планировочной структуры.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Минимальная высота первого этажа (от отметки чистого пола) объектов капитального строительства, расположенных вдоль красных линий − 3,6 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В территориальной зоне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размещение нестационарных торговых объектов на земельных участках, при условии,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что площ</w:t>
      </w:r>
      <w:r>
        <w:rPr>
          <w:rFonts w:ascii="Times New Roman" w:hAnsi="Times New Roman" w:cs="Times New Roman"/>
          <w:sz w:val="24"/>
          <w:szCs w:val="24"/>
        </w:rPr>
        <w:t xml:space="preserve">адь таких объектов не превышает 5 % от площади застройки объектов капитального строительства, которые размещаются в границах данных земельных участков, при условии, что сумма площадей нестационарного торгового объекта и объекта капитального строительства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не противоречит параметрам данной зоны.</w:t>
      </w:r>
      <w:r>
        <w:rPr>
          <w:rFonts w:ascii="Times New Roman" w:hAnsi="Times New Roman" w:cs="Times New Roman"/>
          <w:sz w:val="24"/>
          <w:szCs w:val="24"/>
        </w:rPr>
        <w:t xml:space="preserve"> При этом нестационарные торговые объекты по своему назначению не должны противоречить видам разрешенного использования зоны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Ограничения использования земельных участков и объектов капитального строительства, находящихся в зоне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 и расположенных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в границах зон с особыми условиями использования территории, устанавливаются в соответствии с Приложением к части 2 «Градостроительные регламенты» Правил</w:t>
      </w:r>
      <w:r>
        <w:rPr>
          <w:rFonts w:ascii="Times New Roman" w:hAnsi="Times New Roman" w:cs="Times New Roman"/>
          <w:sz w:val="24"/>
          <w:szCs w:val="24"/>
        </w:rPr>
        <w:t xml:space="preserve"> землепользования и </w:t>
      </w:r>
      <w:r>
        <w:rPr>
          <w:rFonts w:ascii="Times New Roman" w:hAnsi="Times New Roman" w:cs="Times New Roman"/>
          <w:sz w:val="24"/>
          <w:szCs w:val="24"/>
        </w:rPr>
        <w:t xml:space="preserve">застройки города</w:t>
      </w:r>
      <w:r>
        <w:rPr>
          <w:rFonts w:ascii="Times New Roman" w:hAnsi="Times New Roman" w:cs="Times New Roman"/>
          <w:sz w:val="24"/>
          <w:szCs w:val="24"/>
        </w:rPr>
        <w:t xml:space="preserve"> Челябинска, утвержденных </w:t>
      </w:r>
      <w:r>
        <w:rPr>
          <w:rFonts w:ascii="Times New Roman" w:hAnsi="Times New Roman" w:cs="Times New Roman"/>
          <w:sz w:val="24"/>
          <w:szCs w:val="24"/>
        </w:rPr>
        <w:t xml:space="preserve">решением Челябинской городской Думы от 29.08.2023 №41/23</w:t>
      </w:r>
      <w:r>
        <w:rPr>
          <w:rFonts w:ascii="Times New Roman" w:hAnsi="Times New Roman" w:cs="Times New Roman"/>
          <w:sz w:val="24"/>
          <w:szCs w:val="24"/>
        </w:rPr>
        <w:t xml:space="preserve"> (далее – Правила)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Для вида разрешенного использования (2.3) блокированная жилая застройка минимальный и максимальный размер участка считать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в расчете на одну блок-секцию.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В случае если земельный участок, на котором планируется строительство (реконструкция) объекта капитального строительства, находится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границах территорий, предусматривающих требования к архитектурно-градостроительному облику объектов капитального строительст</w:t>
      </w:r>
      <w:r>
        <w:rPr>
          <w:rFonts w:ascii="Times New Roman" w:hAnsi="Times New Roman" w:cs="Times New Roman"/>
          <w:sz w:val="24"/>
          <w:szCs w:val="24"/>
        </w:rPr>
        <w:t xml:space="preserve">ва в соответствии Частью 3.2 «Карта территории регулирования архитектурно-градостроительного облика» Правил, на такой объект распространяются требования к архитектурно-градостроительному облику объектов капитального строительства, установленные разделом 4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архитектурно-градостроительному облику объектов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приложения 2 «Часть 2</w:t>
      </w:r>
      <w:r>
        <w:rPr>
          <w:rFonts w:ascii="Times New Roman" w:hAnsi="Times New Roman" w:cs="Times New Roman"/>
          <w:sz w:val="24"/>
          <w:szCs w:val="24"/>
        </w:rPr>
        <w:t xml:space="preserve">. Градостроительные регламенты» Правил.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архитектурно-градостроительному проектированию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Челябинска                                                                                                                                                                                          Н. В. </w:t>
      </w:r>
      <w:r>
        <w:rPr>
          <w:rFonts w:ascii="Times New Roman" w:hAnsi="Times New Roman" w:cs="Times New Roman"/>
          <w:sz w:val="24"/>
          <w:szCs w:val="24"/>
        </w:rPr>
        <w:t xml:space="preserve">Чернушкина</w:t>
      </w:r>
      <w:r>
        <w:rPr>
          <w:sz w:val="24"/>
          <w:szCs w:val="24"/>
        </w:rPr>
      </w:r>
    </w:p>
    <w:p>
      <w:pPr>
        <w:pStyle w:val="684"/>
        <w:jc w:val="both"/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</w:pPr>
      <w:r>
        <w:rPr>
          <w:rFonts w:eastAsia="Calibri"/>
          <w:b w:val="0"/>
          <w:bCs w:val="0"/>
          <w:spacing w:val="-6"/>
          <w:sz w:val="24"/>
          <w:szCs w:val="24"/>
          <w:lang w:eastAsia="en-US"/>
        </w:rPr>
      </w:r>
      <w:r>
        <w:rPr>
          <w:rStyle w:val="677"/>
          <w:rFonts w:eastAsia="Calibri"/>
          <w:b w:val="0"/>
          <w:bCs w:val="0"/>
          <w:spacing w:val="-6"/>
          <w:sz w:val="24"/>
          <w:szCs w:val="24"/>
          <w:lang w:eastAsia="en-US"/>
        </w:rPr>
      </w:r>
    </w:p>
    <w:sectPr>
      <w:headerReference w:type="default" r:id="rId8"/>
      <w:headerReference w:type="even" r:id="rId9"/>
      <w:footnotePr/>
      <w:endnotePr/>
      <w:type w:val="nextPage"/>
      <w:pgSz w:w="16838" w:h="11906" w:orient="landscape"/>
      <w:pgMar w:top="1701" w:right="536" w:bottom="993" w:left="1134" w:header="568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SimSun">
    <w:panose1 w:val="02000506000000020000"/>
  </w:font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3</w:t>
    </w:r>
    <w:r>
      <w:rPr>
        <w:rFonts w:ascii="Times New Roman" w:hAnsi="Times New Roman" w:cs="Times New Roman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2</w:t>
    </w:r>
    <w:r>
      <w:rPr>
        <w:rFonts w:ascii="Times New Roman" w:hAnsi="Times New Roman" w:cs="Times New Roman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86"/>
    <w:uiPriority w:val="99"/>
  </w:style>
  <w:style w:type="character" w:styleId="45">
    <w:name w:val="Footer Char"/>
    <w:basedOn w:val="674"/>
    <w:link w:val="688"/>
    <w:uiPriority w:val="99"/>
  </w:style>
  <w:style w:type="character" w:styleId="47">
    <w:name w:val="Caption Char"/>
    <w:basedOn w:val="681"/>
    <w:link w:val="688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pPr>
      <w:spacing w:after="200" w:line="276" w:lineRule="auto"/>
    </w:p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>
    <w:name w:val="Strong"/>
    <w:qFormat/>
    <w:rPr>
      <w:b/>
      <w:bCs/>
    </w:rPr>
  </w:style>
  <w:style w:type="paragraph" w:styleId="678" w:customStyle="1">
    <w:name w:val="Заголовок"/>
    <w:basedOn w:val="673"/>
    <w:next w:val="679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679">
    <w:name w:val="Body Text"/>
    <w:basedOn w:val="673"/>
    <w:pPr>
      <w:spacing w:after="140"/>
    </w:pPr>
  </w:style>
  <w:style w:type="paragraph" w:styleId="680">
    <w:name w:val="List"/>
    <w:basedOn w:val="679"/>
    <w:rPr>
      <w:rFonts w:cs="Arial Unicode MS"/>
    </w:rPr>
  </w:style>
  <w:style w:type="paragraph" w:styleId="681">
    <w:name w:val="Caption"/>
    <w:basedOn w:val="673"/>
    <w:qFormat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682">
    <w:name w:val="index heading"/>
    <w:basedOn w:val="673"/>
    <w:qFormat/>
    <w:pPr>
      <w:suppressLineNumbers/>
    </w:pPr>
    <w:rPr>
      <w:rFonts w:cs="Arial Unicode MS"/>
    </w:rPr>
  </w:style>
  <w:style w:type="paragraph" w:styleId="683" w:customStyle="1">
    <w:name w:val="Table Paragraph"/>
    <w:basedOn w:val="673"/>
    <w:uiPriority w:val="1"/>
    <w:qFormat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684" w:customStyle="1">
    <w:name w:val="ConsPlusNormal"/>
    <w:qFormat/>
    <w:rPr>
      <w:rFonts w:ascii="Times New Roman" w:hAnsi="Times New Roman" w:eastAsia="SimSun" w:cs="Times New Roman"/>
      <w:sz w:val="26"/>
      <w:szCs w:val="26"/>
      <w:lang w:eastAsia="zh-CN" w:bidi="hi-IN"/>
    </w:rPr>
  </w:style>
  <w:style w:type="table" w:styleId="685">
    <w:name w:val="Table Grid"/>
    <w:basedOn w:val="675"/>
    <w:uiPriority w:val="59"/>
    <w:rPr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6">
    <w:name w:val="Header"/>
    <w:basedOn w:val="673"/>
    <w:link w:val="68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7" w:customStyle="1">
    <w:name w:val="Верхний колонтитул Знак"/>
    <w:basedOn w:val="674"/>
    <w:link w:val="686"/>
    <w:uiPriority w:val="99"/>
  </w:style>
  <w:style w:type="paragraph" w:styleId="688">
    <w:name w:val="Footer"/>
    <w:basedOn w:val="673"/>
    <w:link w:val="68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9" w:customStyle="1">
    <w:name w:val="Нижний колонтитул Знак"/>
    <w:basedOn w:val="674"/>
    <w:link w:val="688"/>
    <w:uiPriority w:val="99"/>
  </w:style>
  <w:style w:type="paragraph" w:styleId="690">
    <w:name w:val="Balloon Text"/>
    <w:basedOn w:val="673"/>
    <w:link w:val="69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1" w:customStyle="1">
    <w:name w:val="Текст выноски Знак"/>
    <w:basedOn w:val="674"/>
    <w:link w:val="69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S. Breusova</dc:creator>
  <dc:language>ru-RU</dc:language>
  <cp:revision>17</cp:revision>
  <dcterms:created xsi:type="dcterms:W3CDTF">2025-09-09T03:57:00Z</dcterms:created>
  <dcterms:modified xsi:type="dcterms:W3CDTF">2026-07-21T08:59:14Z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