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CB" w:rsidRPr="006C507A" w:rsidRDefault="00012980" w:rsidP="003772CA">
      <w:pPr>
        <w:tabs>
          <w:tab w:val="left" w:pos="10915"/>
        </w:tabs>
        <w:ind w:left="5387"/>
        <w:rPr>
          <w:color w:val="000000" w:themeColor="text1"/>
          <w:sz w:val="24"/>
          <w:szCs w:val="24"/>
        </w:rPr>
      </w:pPr>
      <w:r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</w:t>
      </w:r>
      <w:r w:rsidR="00FE6C77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                                                                                                                </w:t>
      </w:r>
      <w:r w:rsidR="00457DC3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</w:t>
      </w:r>
      <w:r w:rsidR="00FE6C77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  <w:sz w:val="24"/>
          <w:szCs w:val="24"/>
        </w:rPr>
        <w:t>Приложение 3</w:t>
      </w:r>
    </w:p>
    <w:p w:rsidR="008F6DCB" w:rsidRPr="006C507A" w:rsidRDefault="00FE6C77">
      <w:pPr>
        <w:ind w:left="5387"/>
        <w:jc w:val="both"/>
        <w:rPr>
          <w:color w:val="000000" w:themeColor="text1"/>
          <w:sz w:val="24"/>
          <w:szCs w:val="24"/>
        </w:rPr>
      </w:pPr>
      <w:r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                                                                                                            </w:t>
      </w:r>
      <w:r w:rsidR="00D91538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</w:t>
      </w:r>
      <w:r w:rsidR="00457DC3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  </w:t>
      </w:r>
      <w:r w:rsidR="00D91538"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</w:t>
      </w:r>
      <w:r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  <w:sz w:val="24"/>
          <w:szCs w:val="24"/>
        </w:rPr>
        <w:t>к распоряжению Администрации города</w:t>
      </w:r>
    </w:p>
    <w:p w:rsidR="008F6DCB" w:rsidRPr="006C507A" w:rsidRDefault="00FE6C77">
      <w:pPr>
        <w:ind w:left="5387"/>
        <w:jc w:val="both"/>
        <w:rPr>
          <w:color w:val="000000" w:themeColor="text1"/>
          <w:sz w:val="24"/>
          <w:szCs w:val="24"/>
        </w:rPr>
      </w:pPr>
      <w:r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</w:rPr>
        <w:t xml:space="preserve">                                                                                                                  </w:t>
      </w:r>
      <w:r w:rsidRPr="006C507A">
        <w:rPr>
          <w:rStyle w:val="a3"/>
          <w:rFonts w:ascii="Times New Roman" w:eastAsia="Calibri" w:hAnsi="Times New Roman" w:cs="Times New Roman"/>
          <w:b w:val="0"/>
          <w:bCs w:val="0"/>
          <w:color w:val="000000" w:themeColor="text1"/>
          <w:spacing w:val="-6"/>
          <w:sz w:val="24"/>
          <w:szCs w:val="24"/>
        </w:rPr>
        <w:t>от ________________ № ______________</w:t>
      </w:r>
    </w:p>
    <w:p w:rsidR="0015709B" w:rsidRPr="006C507A" w:rsidRDefault="004125EA" w:rsidP="00115197">
      <w:pPr>
        <w:pStyle w:val="af0"/>
        <w:spacing w:before="0" w:beforeAutospacing="0" w:after="0" w:line="276" w:lineRule="auto"/>
        <w:jc w:val="center"/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</w:pPr>
      <w:r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>Основные виды разрешенного использования, п</w:t>
      </w:r>
      <w:r w:rsidR="00FE6C77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редельные </w:t>
      </w:r>
      <w:r w:rsidR="003772CA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размеры земельных участков и предельные </w:t>
      </w:r>
      <w:r w:rsidR="00FE6C77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>параметры разрешенного строительства, реконструкции объектов капитального строительства</w:t>
      </w:r>
      <w:r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, </w:t>
      </w:r>
      <w:r w:rsidR="00FE6C77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которые могут быть выбраны при реализации решения о комплексном развитии </w:t>
      </w:r>
      <w:r w:rsidR="00832B1B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территории </w:t>
      </w:r>
      <w:r w:rsidR="00455B57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>не</w:t>
      </w:r>
      <w:r w:rsidR="00FE6C77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жилой застройки </w:t>
      </w:r>
      <w:r w:rsidR="00B439B2">
        <w:rPr>
          <w:color w:val="000000" w:themeColor="text1"/>
        </w:rPr>
        <w:t>на пересечении</w:t>
      </w:r>
      <w:r w:rsidR="00C22DA8" w:rsidRPr="006C507A">
        <w:rPr>
          <w:color w:val="000000" w:themeColor="text1"/>
        </w:rPr>
        <w:t xml:space="preserve"> улиц 50-летия ВЛКСМ и Черкасской в Металлургическом районе города Челябинска</w:t>
      </w:r>
      <w:r w:rsidR="00C22DA8"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>.</w:t>
      </w:r>
    </w:p>
    <w:p w:rsidR="00EE3FA2" w:rsidRPr="006C507A" w:rsidRDefault="00EE3FA2" w:rsidP="0015709B">
      <w:pPr>
        <w:pStyle w:val="af0"/>
        <w:spacing w:before="0" w:beforeAutospacing="0" w:after="0" w:line="240" w:lineRule="auto"/>
        <w:jc w:val="center"/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</w:pPr>
    </w:p>
    <w:p w:rsidR="00F92FE0" w:rsidRPr="006C507A" w:rsidRDefault="00F92FE0" w:rsidP="006C507A">
      <w:pPr>
        <w:pStyle w:val="af0"/>
        <w:spacing w:before="0" w:beforeAutospacing="0" w:after="0" w:line="276" w:lineRule="auto"/>
        <w:ind w:firstLine="709"/>
        <w:jc w:val="both"/>
        <w:rPr>
          <w:color w:val="000000" w:themeColor="text1"/>
        </w:rPr>
      </w:pPr>
      <w:r w:rsidRPr="006C507A">
        <w:rPr>
          <w:color w:val="000000" w:themeColor="text1"/>
        </w:rPr>
        <w:t>1.</w:t>
      </w:r>
      <w:r w:rsidRPr="007B0C36">
        <w:rPr>
          <w:color w:val="FFFFFF" w:themeColor="background1"/>
        </w:rPr>
        <w:t>◦</w:t>
      </w:r>
      <w:r w:rsidRPr="006C507A">
        <w:rPr>
          <w:color w:val="000000" w:themeColor="text1"/>
        </w:rPr>
        <w:t xml:space="preserve">Планируемая территориальная зона для территории </w:t>
      </w:r>
      <w:r w:rsidRPr="006C507A">
        <w:rPr>
          <w:rStyle w:val="a3"/>
          <w:rFonts w:eastAsia="Calibri"/>
          <w:b w:val="0"/>
          <w:bCs w:val="0"/>
          <w:color w:val="000000" w:themeColor="text1"/>
          <w:spacing w:val="-6"/>
          <w:lang w:eastAsia="en-US"/>
        </w:rPr>
        <w:t xml:space="preserve">нежилой застройки </w:t>
      </w:r>
      <w:r w:rsidR="003A476E">
        <w:rPr>
          <w:color w:val="000000" w:themeColor="text1"/>
        </w:rPr>
        <w:t>на пересечении</w:t>
      </w:r>
      <w:r w:rsidRPr="006C507A">
        <w:rPr>
          <w:color w:val="000000" w:themeColor="text1"/>
        </w:rPr>
        <w:t xml:space="preserve"> улиц 50-летия ВЛКСМ и Черкасской                                      в Металлургическом районе города Челябинска</w:t>
      </w:r>
      <w:r w:rsidR="000D0B37">
        <w:rPr>
          <w:color w:val="000000" w:themeColor="text1"/>
        </w:rPr>
        <w:t xml:space="preserve"> </w:t>
      </w:r>
      <w:r w:rsidRPr="006C507A">
        <w:rPr>
          <w:color w:val="000000" w:themeColor="text1"/>
        </w:rPr>
        <w:t xml:space="preserve">− территориальная зона Б.3.5 «Смешанная зона реновации перспективной высотной застройки». </w:t>
      </w:r>
    </w:p>
    <w:p w:rsidR="00F92FE0" w:rsidRPr="006C507A" w:rsidRDefault="00F92FE0" w:rsidP="006C507A">
      <w:pPr>
        <w:pStyle w:val="af0"/>
        <w:spacing w:before="0" w:beforeAutospacing="0" w:after="0" w:line="276" w:lineRule="auto"/>
        <w:ind w:firstLine="709"/>
        <w:jc w:val="both"/>
        <w:rPr>
          <w:color w:val="000000" w:themeColor="text1"/>
        </w:rPr>
      </w:pPr>
      <w:r w:rsidRPr="006C507A">
        <w:rPr>
          <w:color w:val="000000" w:themeColor="text1"/>
        </w:rPr>
        <w:t>Территориальная зона предназначена для размещения жилых домов, объектов общественно-делового назначения и инфраструктуры, необходимой для функционирования таких объектов в точках развития высотного строительства на территории города Челябинска в отношении территорий (земельных участков и объектов капитального строительства), включенных в границы комплексного развития территории города Челябинска. Градостроительный регламент территориальной зоны Б.3.5. зоны применяется в целях подготовки документации по планировке территории, разрабатываемой в отношении территорий, в границах которых осуществляется комплексное развитие территорий.</w:t>
      </w:r>
    </w:p>
    <w:p w:rsidR="00F92FE0" w:rsidRPr="006C507A" w:rsidRDefault="00F92FE0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03373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в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иды разрешенного использования земельных участков и объектов капитального строительства, предельные (минимальные </w:t>
      </w:r>
      <w:r w:rsidR="007D4197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 территориальной зоне Б.3.5:</w:t>
      </w:r>
    </w:p>
    <w:tbl>
      <w:tblPr>
        <w:tblW w:w="15417" w:type="dxa"/>
        <w:jc w:val="center"/>
        <w:tblLook w:val="0000" w:firstRow="0" w:lastRow="0" w:firstColumn="0" w:lastColumn="0" w:noHBand="0" w:noVBand="0"/>
      </w:tblPr>
      <w:tblGrid>
        <w:gridCol w:w="2376"/>
        <w:gridCol w:w="1502"/>
        <w:gridCol w:w="1540"/>
        <w:gridCol w:w="2183"/>
        <w:gridCol w:w="1436"/>
        <w:gridCol w:w="1636"/>
        <w:gridCol w:w="1472"/>
        <w:gridCol w:w="1564"/>
        <w:gridCol w:w="1708"/>
      </w:tblGrid>
      <w:tr w:rsidR="006C507A" w:rsidRPr="006C507A" w:rsidTr="00C17556">
        <w:trPr>
          <w:tblHeader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82" w:right="-116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Минимальный размер участка,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108" w:right="-113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Максимальный размер участка,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111" w:right="-109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Минимальный отступ от границ красных линий, территорий общего пользования,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115" w:right="-124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Минимальный процент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100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Максимальный процент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96" w:right="-132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Минимальный процент озеленения*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92" w:right="-136"/>
              <w:jc w:val="center"/>
              <w:rPr>
                <w:color w:val="000000" w:themeColor="text1"/>
              </w:rPr>
            </w:pPr>
            <w:proofErr w:type="spellStart"/>
            <w:r w:rsidRPr="006C507A">
              <w:rPr>
                <w:color w:val="000000" w:themeColor="text1"/>
                <w:sz w:val="20"/>
                <w:szCs w:val="20"/>
                <w:lang w:val="en-US"/>
              </w:rPr>
              <w:t>Коэффициент</w:t>
            </w:r>
            <w:proofErr w:type="spellEnd"/>
            <w:r w:rsidRPr="006C507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507A">
              <w:rPr>
                <w:color w:val="000000" w:themeColor="text1"/>
                <w:sz w:val="20"/>
                <w:szCs w:val="20"/>
                <w:lang w:val="en-US"/>
              </w:rPr>
              <w:t>строительного</w:t>
            </w:r>
            <w:proofErr w:type="spellEnd"/>
            <w:r w:rsidRPr="006C507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507A">
              <w:rPr>
                <w:color w:val="000000" w:themeColor="text1"/>
                <w:sz w:val="20"/>
                <w:szCs w:val="20"/>
                <w:lang w:val="en-US"/>
              </w:rPr>
              <w:t>использования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E3FA2">
            <w:pPr>
              <w:pStyle w:val="TableParagraph"/>
              <w:ind w:left="-88" w:right="-91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Предельная этажность/ Максимальная высота ОКС, м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A2" w:rsidRPr="006C507A" w:rsidRDefault="00EE3FA2" w:rsidP="0003373B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Calibri"/>
                <w:color w:val="000000" w:themeColor="text1"/>
                <w:sz w:val="20"/>
                <w:szCs w:val="20"/>
                <w:lang w:eastAsia="ar-SA" w:bidi="ar-SA"/>
              </w:rPr>
              <w:t>(2.6) многоэтажная жилая застройка (высотная застройка) 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Calibri"/>
                <w:color w:val="000000" w:themeColor="text1"/>
                <w:sz w:val="20"/>
                <w:szCs w:val="20"/>
                <w:lang w:eastAsia="ar-SA" w:bidi="ar-SA"/>
              </w:rPr>
              <w:t>(2.7.1) хранение автотранспорта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rFonts w:eastAsia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Default="00EE3FA2" w:rsidP="00E83492">
            <w:pPr>
              <w:pStyle w:val="ConsPlusNormal"/>
              <w:widowControl w:val="0"/>
              <w:spacing w:line="232" w:lineRule="auto"/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 xml:space="preserve">(3.1.1) предоставление коммунальных услуг </w:t>
            </w:r>
          </w:p>
          <w:p w:rsidR="00115197" w:rsidRPr="006C507A" w:rsidRDefault="00115197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TableParagraph"/>
              <w:jc w:val="center"/>
              <w:rPr>
                <w:color w:val="000000" w:themeColor="text1"/>
              </w:rPr>
            </w:pPr>
            <w:r w:rsidRPr="006C507A">
              <w:rPr>
                <w:color w:val="000000" w:themeColor="text1"/>
                <w:sz w:val="20"/>
                <w:szCs w:val="20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(3.4.1) амбулаторно-</w:t>
            </w: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lastRenderedPageBreak/>
              <w:t xml:space="preserve">поликлиническое обслуживание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lastRenderedPageBreak/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lastRenderedPageBreak/>
              <w:t>(3.5.1) дошкольное, начальное и среднее общее образование ***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 xml:space="preserve">(3.6.1) объекты культурно-досуговой деятельности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(3.8.1) государственное управление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 xml:space="preserve">(3.8.2) представительская деятельность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13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ind w:right="-140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(4.1) деловое управление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(4.7) гостиничное обслуживание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 xml:space="preserve">(4.9) служебные гаражи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(4.9.1.1) заправка транспортных средств ****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 xml:space="preserve">(4.9.2) стоянка транспортных средств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(5.1.3) площадки для занятий спортом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uppressAutoHyphens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0 - не менее 10 м от окон жилых и общественных зданий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15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(5.1.4) оборудованные площадки для занятий спортом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uppressAutoHyphens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0 - не менее 10 м от окон жилых и общественных зданий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15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C17556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(6.8) связь</w:t>
            </w:r>
            <w:bookmarkStart w:id="0" w:name="_GoBack"/>
            <w:bookmarkEnd w:id="0"/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*****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(8.0) обеспечение обороны и безопасности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(8.3) обеспечение внутреннего правопорядка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20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(12.0.1) улично-дорожная сеть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  <w:tr w:rsidR="006C507A" w:rsidRPr="006C507A" w:rsidTr="00C17556">
        <w:trPr>
          <w:trHeight w:val="282"/>
          <w:jc w:val="center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lastRenderedPageBreak/>
              <w:t>(12.0.2) благоустройство территории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40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A2" w:rsidRPr="006C507A" w:rsidRDefault="00EE3FA2" w:rsidP="00E83492">
            <w:pPr>
              <w:pStyle w:val="ConsPlusNormal"/>
              <w:widowControl w:val="0"/>
              <w:spacing w:line="232" w:lineRule="auto"/>
              <w:jc w:val="center"/>
              <w:rPr>
                <w:color w:val="000000" w:themeColor="text1"/>
              </w:rPr>
            </w:pPr>
            <w:r w:rsidRPr="006C507A">
              <w:rPr>
                <w:rFonts w:eastAsia="Times New Roman"/>
                <w:color w:val="000000" w:themeColor="text1"/>
                <w:sz w:val="20"/>
                <w:szCs w:val="20"/>
                <w:lang w:eastAsia="ar-SA" w:bidi="ar-SA"/>
              </w:rPr>
              <w:t>НУ/НУ</w:t>
            </w:r>
          </w:p>
        </w:tc>
      </w:tr>
    </w:tbl>
    <w:p w:rsidR="008F6DCB" w:rsidRPr="006C507A" w:rsidRDefault="00FE6C77" w:rsidP="006C507A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>ОКС</w:t>
      </w:r>
      <w:proofErr w:type="spellEnd"/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объект капитального строительства</w:t>
      </w:r>
    </w:p>
    <w:p w:rsidR="008F6DCB" w:rsidRPr="006C507A" w:rsidRDefault="00FE6C77" w:rsidP="006C507A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>НУ – не устанавливаются</w:t>
      </w:r>
    </w:p>
    <w:p w:rsidR="00EE3FA2" w:rsidRPr="006C507A" w:rsidRDefault="00EE3FA2" w:rsidP="006C507A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Примечания:</w:t>
      </w:r>
    </w:p>
    <w:p w:rsidR="00EE3FA2" w:rsidRPr="006C507A" w:rsidRDefault="00EE3FA2" w:rsidP="006C507A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P452"/>
      <w:bookmarkEnd w:id="1"/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*</w:t>
      </w:r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 xml:space="preserve"> Процент озеленения должен учитывать сочетание древесной, кустарниковой и травянистой растительности в пропорции 4:3:3 соответственно. В случае наличия </w:t>
      </w:r>
      <w:r w:rsidR="007D4197"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 xml:space="preserve">                     </w:t>
      </w: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 xml:space="preserve">в границах земельного участка охранных зон объектов инженерной инфраструктуры, исключающих возможность размещения древесной и (или) кустарниковой растительности, указанные пропорции не подлежат применению. </w:t>
      </w:r>
    </w:p>
    <w:p w:rsidR="00EE3FA2" w:rsidRPr="006C507A" w:rsidRDefault="00EE3FA2" w:rsidP="006C507A">
      <w:pPr>
        <w:pStyle w:val="ConsPlusNormal"/>
        <w:spacing w:line="276" w:lineRule="auto"/>
        <w:ind w:firstLine="540"/>
        <w:jc w:val="both"/>
        <w:rPr>
          <w:color w:val="000000" w:themeColor="text1"/>
          <w:sz w:val="20"/>
          <w:szCs w:val="20"/>
        </w:rPr>
      </w:pPr>
      <w:r w:rsidRPr="006C507A">
        <w:rPr>
          <w:rFonts w:eastAsia="Times New Roman"/>
          <w:color w:val="000000" w:themeColor="text1"/>
          <w:sz w:val="20"/>
          <w:szCs w:val="20"/>
          <w:lang w:eastAsia="ar-SA" w:bidi="ar-SA"/>
        </w:rPr>
        <w:t>**</w:t>
      </w:r>
      <w:r w:rsidRPr="006C507A">
        <w:rPr>
          <w:color w:val="000000" w:themeColor="text1"/>
          <w:sz w:val="20"/>
          <w:szCs w:val="20"/>
        </w:rPr>
        <w:t xml:space="preserve"> –</w:t>
      </w:r>
      <w:r w:rsidRPr="006C507A">
        <w:rPr>
          <w:rFonts w:eastAsia="Times New Roman"/>
          <w:color w:val="000000" w:themeColor="text1"/>
          <w:sz w:val="20"/>
          <w:szCs w:val="20"/>
          <w:lang w:eastAsia="ar-SA" w:bidi="ar-SA"/>
        </w:rPr>
        <w:t> Строительство территории жилой застройки с видами разрешенного использования 2.5, 2.6 допускается только при достижении минимального уровня обеспеченности и доступности объектами социальной, транспортной и инженерной инфраструктуры в соответствии с Местными нормативами градостроительного проектирования г. Челябинска, утвержденными Челябинской городской Думой.</w:t>
      </w:r>
    </w:p>
    <w:p w:rsidR="00EE3FA2" w:rsidRPr="006C507A" w:rsidRDefault="00EE3FA2" w:rsidP="006C507A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 xml:space="preserve">К земельным участкам с видами разрешенного использования 2.5, 2.6, образуемым в соответствии с документацией по планировке территории, утвержденной </w:t>
      </w:r>
      <w:r w:rsidR="007D4197"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 xml:space="preserve">                           </w:t>
      </w: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до 06.09.2023, применяются размеры земельных участков, установленные такой документацией по планировке территории.</w:t>
      </w:r>
    </w:p>
    <w:p w:rsidR="00EE3FA2" w:rsidRPr="006C507A" w:rsidRDefault="00EE3FA2" w:rsidP="006C507A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P458"/>
      <w:bookmarkEnd w:id="2"/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***</w:t>
      </w:r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 Площадь земельного участка составляет для дошкольного образования: мощностью до 100 человек – 44 кв. м на человека, свыше 100 – 38 кв. м, в комплексе дошкольных образовательных организаций свыше 500 мест – 30 кв. м. Начальное и общее образование: до 500 мест – 65 кв. м на человека, до 600 мест – 55 кв. м на человека, до 800 мест – 45 кв. м на человека, до 1100 мест – 36 кв. м на человека, до 1500 – 23 кв. м на человека, до 2000 – 18 кв. м на человека.</w:t>
      </w:r>
      <w:bookmarkStart w:id="3" w:name="P459"/>
      <w:bookmarkEnd w:id="3"/>
    </w:p>
    <w:p w:rsidR="00EE3FA2" w:rsidRPr="006C507A" w:rsidRDefault="00EE3FA2" w:rsidP="006C507A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****</w:t>
      </w:r>
      <w:r w:rsidRPr="006C50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Pr="006C507A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ar-SA"/>
        </w:rPr>
        <w:t> Допускается размещение только зарядных станций для электромобилей.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460"/>
      <w:bookmarkEnd w:id="4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Сумма общих площадей помещений, выполняющих жилую функцию (в том числе необходимых для эксплуатации жилых помещений </w:t>
      </w:r>
      <w:r w:rsidR="00AE046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и относимых к общему имуществу многоквартирных домов), не может превышать 80 % от суммы общих площадей всех объектов капитального строительства в данной территориальной зоне в границах элемента планировочной структуры.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Минимальная высота первого этажа (от отметки чистого пола) застройки, выходящей на красные линии, </w:t>
      </w:r>
      <w:r w:rsidR="0050058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3,6 м. Параметр действует 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на фасады, выходящие на границу земельного участка, примыкающую к улично-дорожной сети.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 территориальной зоне Б.3.5 для кодов </w:t>
      </w:r>
      <w:hyperlink r:id="rId7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(2.6)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многоэтажная жилая застройка (высотная застройка), </w:t>
      </w:r>
      <w:hyperlink r:id="rId8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(3.8)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общественное управление, </w:t>
      </w:r>
      <w:hyperlink r:id="rId9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(3.8.1)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государственное управление, </w:t>
      </w:r>
      <w:hyperlink r:id="rId10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(4.1)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деловое управление, </w:t>
      </w:r>
      <w:hyperlink r:id="rId11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(4.7)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гостиничное обслуживание минимальная высота объекта капитального строительства (в наивысшей точке) должна быть не менее 75 метров, при этом допускается </w:t>
      </w:r>
      <w:proofErr w:type="spellStart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разноэтажная</w:t>
      </w:r>
      <w:proofErr w:type="spellEnd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модель застройки.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кода </w:t>
      </w:r>
      <w:hyperlink r:id="rId12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(2.5)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среднеэтажная</w:t>
      </w:r>
      <w:proofErr w:type="spellEnd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жилая застройка допускается:</w:t>
      </w:r>
    </w:p>
    <w:p w:rsidR="00926258" w:rsidRPr="006C507A" w:rsidRDefault="0050058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</w:rPr>
        <w:t> </w:t>
      </w:r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составе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разноэтажного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объекта капитального строительства с основным видом разрешенного использования </w:t>
      </w:r>
      <w:hyperlink r:id="rId13" w:history="1">
        <w:r w:rsidR="00926258"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2.6</w:t>
        </w:r>
      </w:hyperlink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многоэтажная жилая застройка (высотная застройка);</w:t>
      </w:r>
    </w:p>
    <w:p w:rsidR="00926258" w:rsidRPr="006C507A" w:rsidRDefault="00500588" w:rsidP="006C507A">
      <w:pPr>
        <w:suppressAutoHyphens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</w:rPr>
        <w:t> </w:t>
      </w:r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отдельного объекта капитального строительства в составе комплекса жилых зданий с основным видом разрешенного использования </w:t>
      </w:r>
      <w:hyperlink r:id="rId14" w:history="1">
        <w:r w:rsidR="00926258"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2.6</w:t>
        </w:r>
      </w:hyperlink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многоэтажная жилая застройка (высотная застройка).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Размещение расчетного количества </w:t>
      </w:r>
      <w:proofErr w:type="spellStart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-мест для обслуживания строящегося (реконструируемого) объекта капитального строительства осуществляется в следующих соотношениях:</w:t>
      </w:r>
    </w:p>
    <w:p w:rsidR="00926258" w:rsidRPr="006C507A" w:rsidRDefault="00500588" w:rsidP="006C507A">
      <w:pPr>
        <w:suppressAutoHyphens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</w:rPr>
        <w:t> </w:t>
      </w:r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70 %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-мест размещаются в границах земельного участка, на котором планируется строительство (реконструкция) объекта капитального строительства, и не более 30 %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-мест размещаются в пешеходной доступности не более 800 м;</w:t>
      </w:r>
    </w:p>
    <w:p w:rsidR="00926258" w:rsidRPr="006C507A" w:rsidRDefault="00500588" w:rsidP="006C507A">
      <w:pPr>
        <w:suppressAutoHyphens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</w:rPr>
        <w:t> </w:t>
      </w:r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размещения в границах комплексного развития территории не менее 30 %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-мест в многоуровневой или подземной парковке, в границах земельного участка, на котором планируется строительство (реконструкция) объекта капитального строительства, подлежат к размещению не менее 50 %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-мест и не более 20 % </w:t>
      </w:r>
      <w:proofErr w:type="spellStart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машино</w:t>
      </w:r>
      <w:proofErr w:type="spellEnd"/>
      <w:r w:rsidR="00926258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-мест - в пешеходной доступности в радиусе не более 800 м.</w:t>
      </w:r>
    </w:p>
    <w:p w:rsidR="00926258" w:rsidRPr="006C507A" w:rsidRDefault="00926258" w:rsidP="006C507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Ограничения использования земельных участков и объектов капитального строительства, находящихся в зоне Б.3.5 и расположенных </w:t>
      </w:r>
      <w:r w:rsidR="00F975D5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зон с особыми условиями использования территории, устанавливаются в соответствии с </w:t>
      </w:r>
      <w:hyperlink r:id="rId15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части 2 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Градостроительные регламенты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землепользования и застройки города Челябинска</w:t>
      </w:r>
      <w:r w:rsidR="00F92FE0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утвержденных решением Челябинской городской Думы от 29.08.2023</w:t>
      </w:r>
      <w:r w:rsidR="00F975D5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F92FE0"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41/23 (далее – Правила).</w:t>
      </w:r>
    </w:p>
    <w:p w:rsidR="00926258" w:rsidRPr="006C507A" w:rsidRDefault="00926258" w:rsidP="006C507A">
      <w:pPr>
        <w:suppressAutoHyphens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В случае если земельный участок, на котором планируется строительство (реконструкция) объекта капитального строительства, находится в границах территорий, предусматривающих требования к архитектурно-градостроительному облику объектов капитального строительства в соответствии </w:t>
      </w:r>
      <w:hyperlink r:id="rId16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3.2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Правил, на такой объект распространяются требования к архитектурно-градостроительному облику объектов капитального строительства, установленные </w:t>
      </w:r>
      <w:hyperlink r:id="rId17" w:history="1">
        <w:r w:rsidRPr="006C507A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4</w:t>
        </w:r>
      </w:hyperlink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архитектурно-градостроительному облику объектов капитального строительства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 2 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Градостроительные регламенты</w:t>
      </w:r>
      <w:r w:rsidR="002E62C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C50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Правил.</w:t>
      </w:r>
    </w:p>
    <w:p w:rsidR="008F6DCB" w:rsidRPr="006C507A" w:rsidRDefault="008F6DCB" w:rsidP="0092625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F6DCB" w:rsidRPr="006C507A" w:rsidRDefault="008F6DC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EE3FA2" w:rsidRPr="006C507A" w:rsidRDefault="00EE3FA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F6DCB" w:rsidRPr="006C507A" w:rsidRDefault="00291B54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</w:rPr>
        <w:t>Н</w:t>
      </w:r>
      <w:r w:rsidR="00FE6C77" w:rsidRPr="006C507A">
        <w:rPr>
          <w:rFonts w:ascii="Times New Roman" w:hAnsi="Times New Roman" w:cs="Times New Roman"/>
          <w:color w:val="000000" w:themeColor="text1"/>
          <w:sz w:val="24"/>
        </w:rPr>
        <w:t xml:space="preserve">ачальник Управления </w:t>
      </w:r>
    </w:p>
    <w:p w:rsidR="008F6DCB" w:rsidRPr="006C507A" w:rsidRDefault="00FE6C7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</w:rPr>
        <w:t>по архитектурно-градостроительному проектированию</w:t>
      </w:r>
    </w:p>
    <w:p w:rsidR="008F6DCB" w:rsidRPr="006C507A" w:rsidRDefault="00FE6C77">
      <w:pPr>
        <w:spacing w:after="0"/>
        <w:rPr>
          <w:color w:val="000000" w:themeColor="text1"/>
          <w:sz w:val="24"/>
        </w:rPr>
      </w:pPr>
      <w:r w:rsidRPr="006C507A">
        <w:rPr>
          <w:rFonts w:ascii="Times New Roman" w:hAnsi="Times New Roman" w:cs="Times New Roman"/>
          <w:color w:val="000000" w:themeColor="text1"/>
          <w:sz w:val="24"/>
        </w:rPr>
        <w:t>города Челябинска</w:t>
      </w:r>
      <w:r w:rsidR="00291B54" w:rsidRPr="006C507A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</w:t>
      </w:r>
      <w:r w:rsidRPr="006C507A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                                    </w:t>
      </w:r>
      <w:r w:rsidR="0091491F" w:rsidRPr="006C507A">
        <w:rPr>
          <w:rFonts w:ascii="Times New Roman" w:hAnsi="Times New Roman" w:cs="Times New Roman"/>
          <w:color w:val="000000" w:themeColor="text1"/>
          <w:sz w:val="24"/>
        </w:rPr>
        <w:t xml:space="preserve">                     </w:t>
      </w:r>
      <w:r w:rsidRPr="006C507A">
        <w:rPr>
          <w:rFonts w:ascii="Times New Roman" w:hAnsi="Times New Roman" w:cs="Times New Roman"/>
          <w:color w:val="000000" w:themeColor="text1"/>
          <w:sz w:val="24"/>
        </w:rPr>
        <w:t xml:space="preserve">           </w:t>
      </w:r>
      <w:r w:rsidR="001856C1" w:rsidRPr="006C507A">
        <w:rPr>
          <w:rFonts w:ascii="Times New Roman" w:hAnsi="Times New Roman" w:cs="Times New Roman"/>
          <w:color w:val="000000" w:themeColor="text1"/>
          <w:sz w:val="24"/>
        </w:rPr>
        <w:t xml:space="preserve">Н. В. </w:t>
      </w:r>
      <w:proofErr w:type="spellStart"/>
      <w:r w:rsidR="001856C1" w:rsidRPr="006C507A">
        <w:rPr>
          <w:rFonts w:ascii="Times New Roman" w:hAnsi="Times New Roman" w:cs="Times New Roman"/>
          <w:color w:val="000000" w:themeColor="text1"/>
          <w:sz w:val="24"/>
        </w:rPr>
        <w:t>Чернушкина</w:t>
      </w:r>
      <w:proofErr w:type="spellEnd"/>
    </w:p>
    <w:sectPr w:rsidR="008F6DCB" w:rsidRPr="006C507A" w:rsidSect="00926258">
      <w:headerReference w:type="even" r:id="rId18"/>
      <w:headerReference w:type="default" r:id="rId19"/>
      <w:pgSz w:w="16838" w:h="11906" w:orient="landscape"/>
      <w:pgMar w:top="1701" w:right="678" w:bottom="993" w:left="1134" w:header="568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CA" w:rsidRDefault="003772CA">
      <w:pPr>
        <w:spacing w:after="0" w:line="240" w:lineRule="auto"/>
      </w:pPr>
      <w:r>
        <w:separator/>
      </w:r>
    </w:p>
  </w:endnote>
  <w:endnote w:type="continuationSeparator" w:id="0">
    <w:p w:rsidR="003772CA" w:rsidRDefault="0037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CA" w:rsidRDefault="003772CA">
      <w:pPr>
        <w:spacing w:after="0" w:line="240" w:lineRule="auto"/>
      </w:pPr>
      <w:r>
        <w:separator/>
      </w:r>
    </w:p>
  </w:footnote>
  <w:footnote w:type="continuationSeparator" w:id="0">
    <w:p w:rsidR="003772CA" w:rsidRDefault="0037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2CA" w:rsidRDefault="00926258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846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6258" w:rsidRPr="00926258" w:rsidRDefault="00926258">
        <w:pPr>
          <w:pStyle w:val="ac"/>
          <w:jc w:val="center"/>
          <w:rPr>
            <w:rFonts w:ascii="Times New Roman" w:hAnsi="Times New Roman" w:cs="Times New Roman"/>
          </w:rPr>
        </w:pPr>
        <w:r w:rsidRPr="00926258">
          <w:rPr>
            <w:rFonts w:ascii="Times New Roman" w:hAnsi="Times New Roman" w:cs="Times New Roman"/>
          </w:rPr>
          <w:fldChar w:fldCharType="begin"/>
        </w:r>
        <w:r w:rsidRPr="00926258">
          <w:rPr>
            <w:rFonts w:ascii="Times New Roman" w:hAnsi="Times New Roman" w:cs="Times New Roman"/>
          </w:rPr>
          <w:instrText>PAGE   \* MERGEFORMAT</w:instrText>
        </w:r>
        <w:r w:rsidRPr="00926258">
          <w:rPr>
            <w:rFonts w:ascii="Times New Roman" w:hAnsi="Times New Roman" w:cs="Times New Roman"/>
          </w:rPr>
          <w:fldChar w:fldCharType="separate"/>
        </w:r>
        <w:r w:rsidR="00C17556">
          <w:rPr>
            <w:rFonts w:ascii="Times New Roman" w:hAnsi="Times New Roman" w:cs="Times New Roman"/>
            <w:noProof/>
          </w:rPr>
          <w:t>4</w:t>
        </w:r>
        <w:r w:rsidRPr="00926258">
          <w:rPr>
            <w:rFonts w:ascii="Times New Roman" w:hAnsi="Times New Roman" w:cs="Times New Roman"/>
          </w:rPr>
          <w:fldChar w:fldCharType="end"/>
        </w:r>
      </w:p>
    </w:sdtContent>
  </w:sdt>
  <w:p w:rsidR="003772CA" w:rsidRDefault="003772CA">
    <w:pPr>
      <w:pStyle w:val="ac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CB"/>
    <w:rsid w:val="00012980"/>
    <w:rsid w:val="00032C25"/>
    <w:rsid w:val="0003373B"/>
    <w:rsid w:val="000B0F4C"/>
    <w:rsid w:val="000D0B37"/>
    <w:rsid w:val="000D2AA6"/>
    <w:rsid w:val="00115197"/>
    <w:rsid w:val="0015709B"/>
    <w:rsid w:val="001856C1"/>
    <w:rsid w:val="001D2FA3"/>
    <w:rsid w:val="001E071B"/>
    <w:rsid w:val="002443CA"/>
    <w:rsid w:val="00265AE6"/>
    <w:rsid w:val="00291B54"/>
    <w:rsid w:val="002E62C7"/>
    <w:rsid w:val="00323D6E"/>
    <w:rsid w:val="00333666"/>
    <w:rsid w:val="003772CA"/>
    <w:rsid w:val="003A476E"/>
    <w:rsid w:val="004125EA"/>
    <w:rsid w:val="004466D7"/>
    <w:rsid w:val="00455B57"/>
    <w:rsid w:val="00457DC3"/>
    <w:rsid w:val="004A68ED"/>
    <w:rsid w:val="004A742C"/>
    <w:rsid w:val="00500588"/>
    <w:rsid w:val="006C507A"/>
    <w:rsid w:val="006E744B"/>
    <w:rsid w:val="0070082E"/>
    <w:rsid w:val="0079092F"/>
    <w:rsid w:val="007B0C36"/>
    <w:rsid w:val="007D4197"/>
    <w:rsid w:val="00832B1B"/>
    <w:rsid w:val="008F6DCB"/>
    <w:rsid w:val="0091491F"/>
    <w:rsid w:val="00926258"/>
    <w:rsid w:val="00A44808"/>
    <w:rsid w:val="00AE0468"/>
    <w:rsid w:val="00B161C4"/>
    <w:rsid w:val="00B439B2"/>
    <w:rsid w:val="00B475E1"/>
    <w:rsid w:val="00B7322A"/>
    <w:rsid w:val="00C10F5D"/>
    <w:rsid w:val="00C17556"/>
    <w:rsid w:val="00C22DA8"/>
    <w:rsid w:val="00C5035F"/>
    <w:rsid w:val="00D11812"/>
    <w:rsid w:val="00D91538"/>
    <w:rsid w:val="00DC4D6F"/>
    <w:rsid w:val="00E809AD"/>
    <w:rsid w:val="00E90885"/>
    <w:rsid w:val="00EE3FA2"/>
    <w:rsid w:val="00F92FE0"/>
    <w:rsid w:val="00F975D5"/>
    <w:rsid w:val="00FE6C77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A7C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1978C3"/>
  </w:style>
  <w:style w:type="character" w:customStyle="1" w:styleId="a5">
    <w:name w:val="Нижний колонтитул Знак"/>
    <w:basedOn w:val="a0"/>
    <w:uiPriority w:val="99"/>
    <w:qFormat/>
    <w:rsid w:val="001978C3"/>
  </w:style>
  <w:style w:type="character" w:customStyle="1" w:styleId="a6">
    <w:name w:val="Текст выноски Знак"/>
    <w:basedOn w:val="a0"/>
    <w:uiPriority w:val="99"/>
    <w:semiHidden/>
    <w:qFormat/>
    <w:rsid w:val="00CA71B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a"/>
    <w:qFormat/>
    <w:rsid w:val="003D0A7C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D0A7C"/>
    <w:rPr>
      <w:rFonts w:ascii="Times New Roman" w:eastAsia="SimSun" w:hAnsi="Times New Roman" w:cs="Times New Roman"/>
      <w:kern w:val="2"/>
      <w:sz w:val="26"/>
      <w:szCs w:val="26"/>
      <w:lang w:eastAsia="zh-CN" w:bidi="hi-IN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CA71B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D0A7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772CA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457D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A7C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1978C3"/>
  </w:style>
  <w:style w:type="character" w:customStyle="1" w:styleId="a5">
    <w:name w:val="Нижний колонтитул Знак"/>
    <w:basedOn w:val="a0"/>
    <w:uiPriority w:val="99"/>
    <w:qFormat/>
    <w:rsid w:val="001978C3"/>
  </w:style>
  <w:style w:type="character" w:customStyle="1" w:styleId="a6">
    <w:name w:val="Текст выноски Знак"/>
    <w:basedOn w:val="a0"/>
    <w:uiPriority w:val="99"/>
    <w:semiHidden/>
    <w:qFormat/>
    <w:rsid w:val="00CA71B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a"/>
    <w:qFormat/>
    <w:rsid w:val="003D0A7C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D0A7C"/>
    <w:rPr>
      <w:rFonts w:ascii="Times New Roman" w:eastAsia="SimSun" w:hAnsi="Times New Roman" w:cs="Times New Roman"/>
      <w:kern w:val="2"/>
      <w:sz w:val="26"/>
      <w:szCs w:val="26"/>
      <w:lang w:eastAsia="zh-CN" w:bidi="hi-IN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CA71B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D0A7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772CA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457D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4722&amp;dst=100184" TargetMode="External"/><Relationship Id="rId13" Type="http://schemas.openxmlformats.org/officeDocument/2006/relationships/hyperlink" Target="https://login.consultant.ru/link/?req=doc&amp;base=RZR&amp;n=504722&amp;dst=10010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R&amp;n=504722&amp;dst=100103" TargetMode="External"/><Relationship Id="rId12" Type="http://schemas.openxmlformats.org/officeDocument/2006/relationships/hyperlink" Target="https://login.consultant.ru/link/?req=doc&amp;base=RZR&amp;n=504722&amp;dst=100100" TargetMode="External"/><Relationship Id="rId17" Type="http://schemas.openxmlformats.org/officeDocument/2006/relationships/hyperlink" Target="https://login.consultant.ru/link/?req=doc&amp;base=RLAW169&amp;n=239342&amp;dst=11438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69&amp;n=239342&amp;dst=11491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504722&amp;dst=1002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69&amp;n=239342&amp;dst=114403" TargetMode="External"/><Relationship Id="rId10" Type="http://schemas.openxmlformats.org/officeDocument/2006/relationships/hyperlink" Target="https://login.consultant.ru/link/?req=doc&amp;base=RZR&amp;n=504722&amp;dst=10021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04722&amp;dst=100187" TargetMode="External"/><Relationship Id="rId14" Type="http://schemas.openxmlformats.org/officeDocument/2006/relationships/hyperlink" Target="https://login.consultant.ru/link/?req=doc&amp;base=RZR&amp;n=504722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S. Breusova</dc:creator>
  <dc:description/>
  <cp:lastModifiedBy>Elena S. Breusova</cp:lastModifiedBy>
  <cp:revision>30</cp:revision>
  <cp:lastPrinted>2026-04-15T08:37:00Z</cp:lastPrinted>
  <dcterms:created xsi:type="dcterms:W3CDTF">2025-07-29T03:45:00Z</dcterms:created>
  <dcterms:modified xsi:type="dcterms:W3CDTF">2026-07-02T12:57:00Z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